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AA9807">
      <w:pPr>
        <w:rPr>
          <w:rFonts w:hint="eastAsia" w:eastAsiaTheme="minorEastAsia"/>
          <w:lang w:eastAsia="zh-CN"/>
        </w:rPr>
      </w:pPr>
      <w:bookmarkStart w:id="31" w:name="_GoBack"/>
      <w:bookmarkEnd w:id="31"/>
      <w:r>
        <w:rPr>
          <w:sz w:val="21"/>
        </w:rPr>
        <mc:AlternateContent>
          <mc:Choice Requires="wps">
            <w:drawing>
              <wp:anchor distT="0" distB="0" distL="114300" distR="114300" simplePos="0" relativeHeight="251663360" behindDoc="0" locked="0" layoutInCell="1" allowOverlap="1">
                <wp:simplePos x="0" y="0"/>
                <wp:positionH relativeFrom="column">
                  <wp:posOffset>4186555</wp:posOffset>
                </wp:positionH>
                <wp:positionV relativeFrom="paragraph">
                  <wp:posOffset>7347585</wp:posOffset>
                </wp:positionV>
                <wp:extent cx="1998980" cy="1452880"/>
                <wp:effectExtent l="0" t="0" r="0" b="0"/>
                <wp:wrapNone/>
                <wp:docPr id="6" name="文本框 6"/>
                <wp:cNvGraphicFramePr/>
                <a:graphic xmlns:a="http://schemas.openxmlformats.org/drawingml/2006/main">
                  <a:graphicData uri="http://schemas.microsoft.com/office/word/2010/wordprocessingShape">
                    <wps:wsp>
                      <wps:cNvSpPr txBox="1"/>
                      <wps:spPr>
                        <a:xfrm>
                          <a:off x="5415280" y="8254365"/>
                          <a:ext cx="1998980" cy="14528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EB2789">
                            <w:pPr>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sz w:val="32"/>
                                <w:szCs w:val="40"/>
                                <w:lang w:val="en-US" w:eastAsia="zh-CN"/>
                              </w:rPr>
                              <w:t>本期作者 共</w:t>
                            </w:r>
                            <w:r>
                              <w:rPr>
                                <w:rFonts w:hint="eastAsia" w:ascii="华文楷体" w:hAnsi="华文楷体" w:eastAsia="华文楷体" w:cs="华文楷体"/>
                                <w:b/>
                                <w:bCs/>
                                <w:color w:val="FF0000"/>
                                <w:sz w:val="32"/>
                                <w:szCs w:val="40"/>
                                <w:u w:val="single"/>
                                <w:lang w:val="en-US" w:eastAsia="zh-CN"/>
                              </w:rPr>
                              <w:t>3</w:t>
                            </w:r>
                            <w:r>
                              <w:rPr>
                                <w:rFonts w:hint="eastAsia" w:ascii="华文楷体" w:hAnsi="华文楷体" w:eastAsia="华文楷体" w:cs="华文楷体"/>
                                <w:b/>
                                <w:bCs/>
                                <w:sz w:val="32"/>
                                <w:szCs w:val="40"/>
                                <w:lang w:val="en-US" w:eastAsia="zh-CN"/>
                              </w:rPr>
                              <w:t>人：</w:t>
                            </w:r>
                          </w:p>
                          <w:p w14:paraId="7CD4F359">
                            <w:pPr>
                              <w:numPr>
                                <w:ilvl w:val="0"/>
                                <w:numId w:val="1"/>
                              </w:numPr>
                              <w:ind w:left="425" w:leftChars="0" w:hanging="425" w:firstLineChars="0"/>
                              <w:jc w:val="left"/>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尤浩宇</w:t>
                            </w:r>
                          </w:p>
                          <w:p w14:paraId="283943D2">
                            <w:pPr>
                              <w:numPr>
                                <w:ilvl w:val="0"/>
                                <w:numId w:val="1"/>
                              </w:numPr>
                              <w:ind w:left="425" w:leftChars="0" w:hanging="425" w:firstLineChars="0"/>
                              <w:jc w:val="left"/>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撒青军</w:t>
                            </w:r>
                          </w:p>
                          <w:p w14:paraId="2AF7ED80">
                            <w:pPr>
                              <w:numPr>
                                <w:ilvl w:val="0"/>
                                <w:numId w:val="1"/>
                              </w:numPr>
                              <w:ind w:left="425" w:leftChars="0" w:hanging="425" w:firstLineChars="0"/>
                              <w:jc w:val="left"/>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马小平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9.65pt;margin-top:578.55pt;height:114.4pt;width:157.4pt;z-index:251663360;mso-width-relative:page;mso-height-relative:page;" filled="f" stroked="f" coordsize="21600,21600" o:gfxdata="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Wsja53gAAAA0BAAAPAAAAAAAA&#10;AAEAIAAAACIAAABkcnMvZG93bnJldi54bWxQSwECFAAUAAAACACHTuJA9MOhfEUCAABzBAAADgAA&#10;AAAAAAABACAAAAAtAQAAZHJzL2Uyb0RvYy54bWxQSwUGAAAAAAYABgBZAQAA5AUAAAAA&#10;">
                <v:fill on="f" focussize="0,0"/>
                <v:stroke on="f" weight="0.5pt"/>
                <v:imagedata o:title=""/>
                <o:lock v:ext="edit" aspectratio="f"/>
                <v:textbox>
                  <w:txbxContent>
                    <w:p w14:paraId="13EB2789">
                      <w:pPr>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sz w:val="32"/>
                          <w:szCs w:val="40"/>
                          <w:lang w:val="en-US" w:eastAsia="zh-CN"/>
                        </w:rPr>
                        <w:t>本期作者 共</w:t>
                      </w:r>
                      <w:r>
                        <w:rPr>
                          <w:rFonts w:hint="eastAsia" w:ascii="华文楷体" w:hAnsi="华文楷体" w:eastAsia="华文楷体" w:cs="华文楷体"/>
                          <w:b/>
                          <w:bCs/>
                          <w:color w:val="FF0000"/>
                          <w:sz w:val="32"/>
                          <w:szCs w:val="40"/>
                          <w:u w:val="single"/>
                          <w:lang w:val="en-US" w:eastAsia="zh-CN"/>
                        </w:rPr>
                        <w:t>3</w:t>
                      </w:r>
                      <w:r>
                        <w:rPr>
                          <w:rFonts w:hint="eastAsia" w:ascii="华文楷体" w:hAnsi="华文楷体" w:eastAsia="华文楷体" w:cs="华文楷体"/>
                          <w:b/>
                          <w:bCs/>
                          <w:sz w:val="32"/>
                          <w:szCs w:val="40"/>
                          <w:lang w:val="en-US" w:eastAsia="zh-CN"/>
                        </w:rPr>
                        <w:t>人：</w:t>
                      </w:r>
                    </w:p>
                    <w:p w14:paraId="7CD4F359">
                      <w:pPr>
                        <w:numPr>
                          <w:ilvl w:val="0"/>
                          <w:numId w:val="1"/>
                        </w:numPr>
                        <w:ind w:left="425" w:leftChars="0" w:hanging="425" w:firstLineChars="0"/>
                        <w:jc w:val="left"/>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尤浩宇</w:t>
                      </w:r>
                    </w:p>
                    <w:p w14:paraId="283943D2">
                      <w:pPr>
                        <w:numPr>
                          <w:ilvl w:val="0"/>
                          <w:numId w:val="1"/>
                        </w:numPr>
                        <w:ind w:left="425" w:leftChars="0" w:hanging="425" w:firstLineChars="0"/>
                        <w:jc w:val="left"/>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撒青军</w:t>
                      </w:r>
                    </w:p>
                    <w:p w14:paraId="2AF7ED80">
                      <w:pPr>
                        <w:numPr>
                          <w:ilvl w:val="0"/>
                          <w:numId w:val="1"/>
                        </w:numPr>
                        <w:ind w:left="425" w:leftChars="0" w:hanging="425" w:firstLineChars="0"/>
                        <w:jc w:val="left"/>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马小平</w:t>
                      </w:r>
                    </w:p>
                  </w:txbxContent>
                </v:textbox>
              </v:shape>
            </w:pict>
          </mc:Fallback>
        </mc:AlternateContent>
      </w:r>
      <w:r>
        <w:rPr>
          <w:rFonts w:hint="eastAsia" w:eastAsiaTheme="minorEastAsia"/>
          <w:lang w:eastAsia="zh-CN"/>
        </w:rPr>
        <w:drawing>
          <wp:anchor distT="0" distB="0" distL="114300" distR="114300" simplePos="0" relativeHeight="251661312" behindDoc="0" locked="0" layoutInCell="1" allowOverlap="1">
            <wp:simplePos x="0" y="0"/>
            <wp:positionH relativeFrom="column">
              <wp:posOffset>2051050</wp:posOffset>
            </wp:positionH>
            <wp:positionV relativeFrom="paragraph">
              <wp:posOffset>3362325</wp:posOffset>
            </wp:positionV>
            <wp:extent cx="1574800" cy="886460"/>
            <wp:effectExtent l="0" t="0" r="0" b="0"/>
            <wp:wrapNone/>
            <wp:docPr id="3" name="图片 3" descr="图标-带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标-带文字"/>
                    <pic:cNvPicPr>
                      <a:picLocks noChangeAspect="1"/>
                    </pic:cNvPicPr>
                  </pic:nvPicPr>
                  <pic:blipFill>
                    <a:blip r:embed="rId7"/>
                    <a:stretch>
                      <a:fillRect/>
                    </a:stretch>
                  </pic:blipFill>
                  <pic:spPr>
                    <a:xfrm>
                      <a:off x="0" y="0"/>
                      <a:ext cx="1574800" cy="886460"/>
                    </a:xfrm>
                    <a:prstGeom prst="rect">
                      <a:avLst/>
                    </a:prstGeom>
                  </pic:spPr>
                </pic:pic>
              </a:graphicData>
            </a:graphic>
          </wp:anchor>
        </w:drawing>
      </w:r>
      <w:r>
        <w:rPr>
          <w:sz w:val="21"/>
        </w:rPr>
        <mc:AlternateContent>
          <mc:Choice Requires="wps">
            <w:drawing>
              <wp:anchor distT="0" distB="0" distL="114300" distR="114300" simplePos="0" relativeHeight="251662336" behindDoc="0" locked="0" layoutInCell="1" allowOverlap="1">
                <wp:simplePos x="0" y="0"/>
                <wp:positionH relativeFrom="column">
                  <wp:posOffset>-528955</wp:posOffset>
                </wp:positionH>
                <wp:positionV relativeFrom="paragraph">
                  <wp:posOffset>2516505</wp:posOffset>
                </wp:positionV>
                <wp:extent cx="2851785" cy="773430"/>
                <wp:effectExtent l="0" t="0" r="0" b="0"/>
                <wp:wrapNone/>
                <wp:docPr id="4" name="文本框 4"/>
                <wp:cNvGraphicFramePr/>
                <a:graphic xmlns:a="http://schemas.openxmlformats.org/drawingml/2006/main">
                  <a:graphicData uri="http://schemas.microsoft.com/office/word/2010/wordprocessingShape">
                    <wps:wsp>
                      <wps:cNvSpPr txBox="1"/>
                      <wps:spPr>
                        <a:xfrm>
                          <a:off x="374015" y="1396365"/>
                          <a:ext cx="2851785" cy="773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94C611">
                            <w:pPr>
                              <w:jc w:val="left"/>
                              <w:rPr>
                                <w:rFonts w:hint="eastAsia" w:ascii="思源黑体 CN Heavy" w:hAnsi="思源黑体 CN Heavy" w:eastAsia="思源黑体 CN Heavy" w:cs="思源黑体 CN Heavy"/>
                                <w:sz w:val="52"/>
                                <w:szCs w:val="60"/>
                                <w:lang w:val="en-US" w:eastAsia="zh-CN"/>
                              </w:rPr>
                            </w:pPr>
                            <w:r>
                              <w:rPr>
                                <w:rFonts w:hint="eastAsia" w:ascii="思源黑体 CN Heavy" w:hAnsi="思源黑体 CN Heavy" w:eastAsia="思源黑体 CN Heavy" w:cs="思源黑体 CN Heavy"/>
                                <w:sz w:val="52"/>
                                <w:szCs w:val="60"/>
                                <w:lang w:val="en-US" w:eastAsia="zh-CN"/>
                              </w:rPr>
                              <w:t>2025-12 第02期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65pt;margin-top:198.15pt;height:60.9pt;width:224.55pt;z-index:251662336;mso-width-relative:page;mso-height-relative:page;" filled="f" stroked="f" coordsize="21600,21600" o:gfxdata="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5cA8PcAAAACwEAAA8AAAAA&#10;AAAAAQAgAAAAIgAAAGRycy9kb3ducmV2LnhtbFBLAQIUABQAAAAIAIdO4kDCDpC2SQIAAHEEAAAO&#10;AAAAAAAAAAEAIAAAACsBAABkcnMvZTJvRG9jLnhtbFBLBQYAAAAABgAGAFkBAADmBQAAAAA=&#10;">
                <v:fill on="f" focussize="0,0"/>
                <v:stroke on="f" weight="0.5pt"/>
                <v:imagedata o:title=""/>
                <o:lock v:ext="edit" aspectratio="f"/>
                <v:textbox>
                  <w:txbxContent>
                    <w:p w14:paraId="5E94C611">
                      <w:pPr>
                        <w:jc w:val="left"/>
                        <w:rPr>
                          <w:rFonts w:hint="eastAsia" w:ascii="思源黑体 CN Heavy" w:hAnsi="思源黑体 CN Heavy" w:eastAsia="思源黑体 CN Heavy" w:cs="思源黑体 CN Heavy"/>
                          <w:sz w:val="52"/>
                          <w:szCs w:val="60"/>
                          <w:lang w:val="en-US" w:eastAsia="zh-CN"/>
                        </w:rPr>
                      </w:pPr>
                      <w:r>
                        <w:rPr>
                          <w:rFonts w:hint="eastAsia" w:ascii="思源黑体 CN Heavy" w:hAnsi="思源黑体 CN Heavy" w:eastAsia="思源黑体 CN Heavy" w:cs="思源黑体 CN Heavy"/>
                          <w:sz w:val="52"/>
                          <w:szCs w:val="60"/>
                          <w:lang w:val="en-US" w:eastAsia="zh-CN"/>
                        </w:rPr>
                        <w:t>2025-12 第02期</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-601345</wp:posOffset>
                </wp:positionH>
                <wp:positionV relativeFrom="paragraph">
                  <wp:posOffset>3239135</wp:posOffset>
                </wp:positionV>
                <wp:extent cx="3453130" cy="1219835"/>
                <wp:effectExtent l="0" t="0" r="0" b="0"/>
                <wp:wrapNone/>
                <wp:docPr id="1" name="文本框 1"/>
                <wp:cNvGraphicFramePr/>
                <a:graphic xmlns:a="http://schemas.openxmlformats.org/drawingml/2006/main">
                  <a:graphicData uri="http://schemas.microsoft.com/office/word/2010/wordprocessingShape">
                    <wps:wsp>
                      <wps:cNvSpPr txBox="1"/>
                      <wps:spPr>
                        <a:xfrm>
                          <a:off x="1331595" y="2065020"/>
                          <a:ext cx="3453130" cy="1219835"/>
                        </a:xfrm>
                        <a:prstGeom prst="rect">
                          <a:avLst/>
                        </a:prstGeom>
                        <a:ln w="12700" cap="flat" cmpd="sng" algn="ctr">
                          <a:noFill/>
                          <a:prstDash val="dash"/>
                          <a:miter lim="800000"/>
                        </a:ln>
                      </wps:spPr>
                      <wps:style>
                        <a:lnRef idx="0">
                          <a:schemeClr val="accent1"/>
                        </a:lnRef>
                        <a:fillRef idx="0">
                          <a:srgbClr val="FFFFFF"/>
                        </a:fillRef>
                        <a:effectRef idx="0">
                          <a:srgbClr val="FFFFFF"/>
                        </a:effectRef>
                        <a:fontRef idx="minor">
                          <a:schemeClr val="tx1"/>
                        </a:fontRef>
                      </wps:style>
                      <wps:txbx>
                        <w:txbxContent>
                          <w:p w14:paraId="048D8115">
                            <w:pPr>
                              <w:jc w:val="left"/>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pPr>
                            <w:r>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t>学术报告</w:t>
                            </w: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threePt" dir="t"/>
                        </a:scene3d>
                      </wps:bodyPr>
                    </wps:wsp>
                  </a:graphicData>
                </a:graphic>
              </wp:anchor>
            </w:drawing>
          </mc:Choice>
          <mc:Fallback>
            <w:pict>
              <v:shape id="_x0000_s1026" o:spid="_x0000_s1026" o:spt="202" type="#_x0000_t202" style="position:absolute;left:0pt;margin-left:-47.35pt;margin-top:255.05pt;height:96.05pt;width:271.9pt;z-index:251660288;mso-width-relative:page;mso-height-relative:page;" filled="f" stroked="f" coordsize="21600,21600" o:gfxdata="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qL/Yj2QAAAAsBAAAPAAAAAAAAAAEAIAAAACIAAABkcnMvZG93bnJldi54&#10;bWxQSwECFAAUAAAACACHTuJAvKg2EKQCAAAiBQAADgAAAAAAAAABACAAAAAoAQAAZHJzL2Uyb0Rv&#10;Yy54bWxQSwUGAAAAAAYABgBZAQAAPgYAAAAA&#10;">
                <v:fill on="f" focussize="0,0"/>
                <v:stroke on="f" weight="1pt" miterlimit="8" joinstyle="miter" dashstyle="dash"/>
                <v:imagedata o:title=""/>
                <o:lock v:ext="edit" aspectratio="f"/>
                <v:textbox>
                  <w:txbxContent>
                    <w:p w14:paraId="048D8115">
                      <w:pPr>
                        <w:jc w:val="left"/>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pPr>
                      <w:r>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t>学术报告</w:t>
                      </w:r>
                    </w:p>
                  </w:txbxContent>
                </v:textbox>
              </v:shape>
            </w:pict>
          </mc:Fallback>
        </mc:AlternateContent>
      </w:r>
      <w:r>
        <w:rPr>
          <w:rFonts w:hint="eastAsia" w:eastAsiaTheme="minorEastAsia"/>
          <w:lang w:eastAsia="zh-CN"/>
        </w:rPr>
        <w:drawing>
          <wp:anchor distT="0" distB="0" distL="114300" distR="114300" simplePos="0" relativeHeight="251659264" behindDoc="1" locked="0" layoutInCell="1" allowOverlap="1">
            <wp:simplePos x="0" y="0"/>
            <wp:positionH relativeFrom="column">
              <wp:posOffset>-1195070</wp:posOffset>
            </wp:positionH>
            <wp:positionV relativeFrom="paragraph">
              <wp:posOffset>-934085</wp:posOffset>
            </wp:positionV>
            <wp:extent cx="7711440" cy="10909300"/>
            <wp:effectExtent l="0" t="0" r="10160" b="0"/>
            <wp:wrapNone/>
            <wp:docPr id="5" name="图片 5" descr="封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封面图"/>
                    <pic:cNvPicPr>
                      <a:picLocks noChangeAspect="1"/>
                    </pic:cNvPicPr>
                  </pic:nvPicPr>
                  <pic:blipFill>
                    <a:blip r:embed="rId8"/>
                    <a:stretch>
                      <a:fillRect/>
                    </a:stretch>
                  </pic:blipFill>
                  <pic:spPr>
                    <a:xfrm>
                      <a:off x="0" y="0"/>
                      <a:ext cx="7711440" cy="10909300"/>
                    </a:xfrm>
                    <a:prstGeom prst="rect">
                      <a:avLst/>
                    </a:prstGeom>
                  </pic:spPr>
                </pic:pic>
              </a:graphicData>
            </a:graphic>
          </wp:anchor>
        </w:drawing>
      </w:r>
    </w:p>
    <w:p w14:paraId="766F4820">
      <w:pPr>
        <w:rPr>
          <w:rFonts w:hint="eastAsia" w:ascii="黑体" w:hAnsi="黑体" w:eastAsia="黑体" w:cs="黑体"/>
          <w:b/>
          <w:bCs/>
          <w:sz w:val="48"/>
          <w:szCs w:val="48"/>
        </w:rPr>
      </w:pPr>
      <w:r>
        <w:rPr>
          <w:rFonts w:hint="eastAsia" w:ascii="黑体" w:hAnsi="黑体" w:eastAsia="黑体" w:cs="黑体"/>
          <w:b/>
          <w:bCs/>
          <w:sz w:val="48"/>
          <w:szCs w:val="48"/>
        </w:rPr>
        <w:br w:type="page"/>
      </w:r>
    </w:p>
    <w:p w14:paraId="31DCFDAA">
      <w:pPr>
        <w:spacing w:line="360" w:lineRule="auto"/>
        <w:jc w:val="center"/>
        <w:rPr>
          <w:rFonts w:hint="eastAsia" w:ascii="黑体" w:hAnsi="黑体" w:eastAsia="黑体" w:cs="黑体"/>
          <w:b/>
          <w:bCs/>
          <w:sz w:val="48"/>
          <w:szCs w:val="48"/>
        </w:rPr>
      </w:pPr>
    </w:p>
    <w:p w14:paraId="262EF63A">
      <w:pPr>
        <w:spacing w:line="360" w:lineRule="auto"/>
        <w:jc w:val="center"/>
        <w:outlineLvl w:val="0"/>
        <w:rPr>
          <w:rFonts w:hint="eastAsia" w:ascii="黑体" w:hAnsi="黑体" w:eastAsia="黑体" w:cs="黑体"/>
          <w:b/>
          <w:bCs/>
          <w:sz w:val="48"/>
          <w:szCs w:val="48"/>
          <w:lang w:eastAsia="zh-CN"/>
        </w:rPr>
      </w:pPr>
      <w:bookmarkStart w:id="0" w:name="_Toc25628"/>
      <w:bookmarkStart w:id="1" w:name="_Toc22283"/>
      <w:bookmarkStart w:id="2" w:name="_Toc4235"/>
      <w:r>
        <w:rPr>
          <w:rFonts w:hint="eastAsia" w:ascii="黑体" w:hAnsi="黑体" w:eastAsia="黑体" w:cs="黑体"/>
          <w:b/>
          <w:bCs/>
          <w:sz w:val="48"/>
          <w:szCs w:val="48"/>
          <w:lang w:eastAsia="zh-CN"/>
        </w:rPr>
        <w:t>中国国际大学生创新大赛</w:t>
      </w:r>
      <w:bookmarkEnd w:id="0"/>
      <w:bookmarkEnd w:id="1"/>
      <w:bookmarkEnd w:id="2"/>
    </w:p>
    <w:p w14:paraId="72A8D99F">
      <w:pPr>
        <w:spacing w:line="360" w:lineRule="auto"/>
        <w:jc w:val="center"/>
        <w:outlineLvl w:val="0"/>
        <w:rPr>
          <w:rFonts w:hint="eastAsia" w:ascii="黑体" w:hAnsi="黑体" w:eastAsia="黑体" w:cs="黑体"/>
          <w:b/>
          <w:bCs/>
          <w:sz w:val="48"/>
          <w:szCs w:val="48"/>
          <w:lang w:eastAsia="zh-CN"/>
        </w:rPr>
      </w:pPr>
      <w:bookmarkStart w:id="3" w:name="_Toc2619"/>
      <w:bookmarkStart w:id="4" w:name="_Toc18371"/>
      <w:bookmarkStart w:id="5" w:name="_Toc22354"/>
      <w:r>
        <w:rPr>
          <w:rFonts w:hint="eastAsia" w:ascii="黑体" w:hAnsi="黑体" w:eastAsia="黑体" w:cs="黑体"/>
          <w:b/>
          <w:bCs/>
          <w:sz w:val="48"/>
          <w:szCs w:val="48"/>
          <w:lang w:eastAsia="zh-CN"/>
        </w:rPr>
        <w:t>项目计划书</w:t>
      </w:r>
      <w:bookmarkEnd w:id="3"/>
      <w:bookmarkEnd w:id="4"/>
      <w:bookmarkEnd w:id="5"/>
    </w:p>
    <w:p w14:paraId="52B19EB3">
      <w:pPr>
        <w:spacing w:line="360" w:lineRule="auto"/>
        <w:jc w:val="center"/>
        <w:rPr>
          <w:rFonts w:hint="eastAsia" w:ascii="黑体" w:hAnsi="黑体" w:eastAsia="黑体" w:cs="黑体"/>
          <w:b/>
          <w:bCs/>
          <w:sz w:val="48"/>
          <w:szCs w:val="48"/>
          <w:lang w:eastAsia="zh-CN"/>
        </w:rPr>
      </w:pPr>
    </w:p>
    <w:p w14:paraId="03220F46">
      <w:pPr>
        <w:spacing w:line="360" w:lineRule="auto"/>
        <w:jc w:val="center"/>
        <w:rPr>
          <w:rFonts w:hint="eastAsia" w:ascii="黑体" w:hAnsi="黑体" w:eastAsia="黑体" w:cs="黑体"/>
          <w:b/>
          <w:bCs/>
          <w:sz w:val="48"/>
          <w:szCs w:val="48"/>
          <w:lang w:eastAsia="zh-CN"/>
        </w:rPr>
      </w:pPr>
    </w:p>
    <w:p w14:paraId="4CB0A687">
      <w:pPr>
        <w:spacing w:line="360" w:lineRule="auto"/>
        <w:jc w:val="center"/>
        <w:rPr>
          <w:rFonts w:hint="eastAsia" w:ascii="黑体" w:hAnsi="黑体" w:eastAsia="黑体" w:cs="黑体"/>
          <w:sz w:val="36"/>
          <w:szCs w:val="36"/>
          <w:u w:val="single"/>
          <w:lang w:eastAsia="zh-CN"/>
        </w:rPr>
      </w:pPr>
      <w:r>
        <w:rPr>
          <w:rFonts w:hint="eastAsia" w:ascii="黑体" w:hAnsi="黑体" w:eastAsia="黑体" w:cs="黑体"/>
          <w:sz w:val="36"/>
          <w:szCs w:val="36"/>
          <w:lang w:eastAsia="zh-CN"/>
        </w:rPr>
        <w:t>项目名称：</w:t>
      </w:r>
      <w:r>
        <w:rPr>
          <w:rFonts w:hint="eastAsia" w:ascii="黑体" w:hAnsi="黑体" w:eastAsia="黑体" w:cs="黑体"/>
          <w:sz w:val="36"/>
          <w:szCs w:val="36"/>
          <w:u w:val="single"/>
          <w:lang w:eastAsia="zh-CN"/>
        </w:rPr>
        <w:t>“智慧校园+AI自助学习舱”项目计划书</w:t>
      </w:r>
    </w:p>
    <w:p w14:paraId="2FF1686E">
      <w:pPr>
        <w:spacing w:line="360" w:lineRule="auto"/>
        <w:ind w:firstLine="640" w:firstLineChars="200"/>
        <w:rPr>
          <w:rFonts w:hint="eastAsia" w:ascii="仿宋" w:hAnsi="仿宋" w:eastAsia="仿宋" w:cs="仿宋"/>
          <w:sz w:val="32"/>
          <w:szCs w:val="32"/>
          <w:lang w:eastAsia="zh-CN"/>
        </w:rPr>
      </w:pPr>
    </w:p>
    <w:p w14:paraId="5B401734">
      <w:pPr>
        <w:spacing w:line="360" w:lineRule="auto"/>
        <w:ind w:firstLine="640" w:firstLineChars="200"/>
        <w:rPr>
          <w:rFonts w:hint="eastAsia" w:ascii="仿宋" w:hAnsi="仿宋" w:eastAsia="仿宋" w:cs="仿宋"/>
          <w:sz w:val="32"/>
          <w:szCs w:val="32"/>
          <w:lang w:eastAsia="zh-CN"/>
        </w:rPr>
      </w:pPr>
    </w:p>
    <w:p w14:paraId="44C71E86">
      <w:pPr>
        <w:spacing w:line="360" w:lineRule="auto"/>
        <w:ind w:left="420" w:leftChars="0" w:firstLine="420" w:firstLineChars="0"/>
        <w:jc w:val="both"/>
        <w:rPr>
          <w:rFonts w:hint="default" w:ascii="仿宋" w:hAnsi="仿宋" w:eastAsia="仿宋" w:cs="仿宋"/>
          <w:sz w:val="32"/>
          <w:szCs w:val="32"/>
          <w:u w:val="single"/>
          <w:lang w:val="en-US" w:eastAsia="zh-CN"/>
        </w:rPr>
      </w:pPr>
      <w:r>
        <w:rPr>
          <w:rFonts w:hint="eastAsia" w:ascii="仿宋" w:hAnsi="仿宋" w:eastAsia="仿宋" w:cs="仿宋"/>
          <w:sz w:val="32"/>
          <w:szCs w:val="32"/>
          <w:lang w:eastAsia="zh-CN"/>
        </w:rPr>
        <w:t>参赛组别：</w:t>
      </w:r>
      <w:r>
        <w:rPr>
          <w:rFonts w:hint="eastAsia" w:ascii="仿宋" w:hAnsi="仿宋" w:eastAsia="仿宋" w:cs="仿宋"/>
          <w:sz w:val="32"/>
          <w:szCs w:val="32"/>
          <w:u w:val="single"/>
          <w:lang w:eastAsia="zh-CN"/>
        </w:rPr>
        <w:t>_____</w:t>
      </w:r>
      <w:r>
        <w:rPr>
          <w:rFonts w:hint="eastAsia" w:ascii="仿宋" w:hAnsi="仿宋" w:eastAsia="仿宋" w:cs="仿宋"/>
          <w:sz w:val="32"/>
          <w:szCs w:val="32"/>
          <w:u w:val="single"/>
          <w:lang w:val="en-US" w:eastAsia="zh-CN"/>
        </w:rPr>
        <w:t xml:space="preserve">     高教主赛道</w:t>
      </w:r>
      <w:r>
        <w:rPr>
          <w:rFonts w:hint="eastAsia" w:ascii="仿宋" w:hAnsi="仿宋" w:eastAsia="仿宋" w:cs="仿宋"/>
          <w:sz w:val="32"/>
          <w:szCs w:val="32"/>
          <w:u w:val="single"/>
          <w:lang w:eastAsia="zh-CN"/>
        </w:rPr>
        <w:t>_______</w:t>
      </w:r>
      <w:r>
        <w:rPr>
          <w:rFonts w:hint="eastAsia" w:ascii="仿宋" w:hAnsi="仿宋" w:eastAsia="仿宋" w:cs="仿宋"/>
          <w:sz w:val="32"/>
          <w:szCs w:val="32"/>
          <w:u w:val="single"/>
          <w:lang w:val="en-US" w:eastAsia="zh-CN"/>
        </w:rPr>
        <w:t xml:space="preserve">     </w:t>
      </w:r>
    </w:p>
    <w:p w14:paraId="25EAE574">
      <w:pPr>
        <w:spacing w:line="360" w:lineRule="auto"/>
        <w:ind w:left="420" w:leftChars="0" w:firstLine="420" w:firstLineChars="0"/>
        <w:jc w:val="both"/>
        <w:rPr>
          <w:rFonts w:hint="default" w:ascii="仿宋" w:hAnsi="仿宋" w:eastAsia="仿宋" w:cs="仿宋"/>
          <w:sz w:val="32"/>
          <w:szCs w:val="32"/>
          <w:u w:val="single"/>
          <w:lang w:val="en-US" w:eastAsia="zh-CN"/>
        </w:rPr>
      </w:pPr>
      <w:r>
        <w:rPr>
          <w:rFonts w:hint="eastAsia" w:ascii="仿宋" w:hAnsi="仿宋" w:eastAsia="仿宋" w:cs="仿宋"/>
          <w:sz w:val="32"/>
          <w:szCs w:val="32"/>
          <w:lang w:eastAsia="zh-CN"/>
        </w:rPr>
        <w:t>指导老师：</w:t>
      </w:r>
      <w:r>
        <w:rPr>
          <w:rFonts w:hint="eastAsia" w:ascii="仿宋" w:hAnsi="仿宋" w:eastAsia="仿宋" w:cs="仿宋"/>
          <w:sz w:val="32"/>
          <w:szCs w:val="32"/>
          <w:u w:val="single"/>
          <w:lang w:val="en-US" w:eastAsia="zh-CN"/>
        </w:rPr>
        <w:t xml:space="preserve">            杨永锋              </w:t>
      </w:r>
    </w:p>
    <w:p w14:paraId="3F7166C3">
      <w:pPr>
        <w:spacing w:line="360" w:lineRule="auto"/>
        <w:ind w:firstLine="960" w:firstLineChars="30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团队成员：</w:t>
      </w:r>
      <w:r>
        <w:rPr>
          <w:rFonts w:hint="eastAsia" w:ascii="仿宋" w:hAnsi="仿宋" w:eastAsia="仿宋" w:cs="仿宋"/>
          <w:sz w:val="32"/>
          <w:szCs w:val="32"/>
          <w:u w:val="single"/>
          <w:lang w:val="en-US" w:eastAsia="zh-CN"/>
        </w:rPr>
        <w:t xml:space="preserve">    尤浩宇、撒青军、马小平</w:t>
      </w:r>
      <w:r>
        <w:rPr>
          <w:rFonts w:hint="eastAsia" w:ascii="仿宋" w:hAnsi="仿宋" w:eastAsia="仿宋" w:cs="仿宋"/>
          <w:sz w:val="32"/>
          <w:szCs w:val="32"/>
          <w:u w:val="single"/>
          <w:lang w:eastAsia="zh-CN"/>
        </w:rPr>
        <w:t>______</w:t>
      </w:r>
    </w:p>
    <w:p w14:paraId="12A3ABEC">
      <w:pPr>
        <w:spacing w:line="360" w:lineRule="auto"/>
        <w:ind w:firstLine="960" w:firstLineChars="300"/>
        <w:jc w:val="both"/>
        <w:rPr>
          <w:rFonts w:hint="eastAsia" w:ascii="仿宋" w:hAnsi="仿宋" w:eastAsia="仿宋" w:cs="仿宋"/>
          <w:sz w:val="32"/>
          <w:szCs w:val="32"/>
          <w:u w:val="single"/>
          <w:lang w:eastAsia="zh-CN"/>
        </w:rPr>
      </w:pPr>
      <w:r>
        <w:rPr>
          <w:rFonts w:hint="eastAsia" w:ascii="仿宋" w:hAnsi="仿宋" w:eastAsia="仿宋" w:cs="仿宋"/>
          <w:sz w:val="32"/>
          <w:szCs w:val="32"/>
          <w:lang w:eastAsia="zh-CN"/>
        </w:rPr>
        <w:t>完成时间：</w:t>
      </w:r>
      <w:r>
        <w:rPr>
          <w:rFonts w:hint="eastAsia" w:ascii="仿宋" w:hAnsi="仿宋" w:eastAsia="仿宋" w:cs="仿宋"/>
          <w:sz w:val="32"/>
          <w:szCs w:val="32"/>
          <w:u w:val="single"/>
          <w:lang w:eastAsia="zh-CN"/>
        </w:rPr>
        <w:t>__</w:t>
      </w:r>
      <w:r>
        <w:rPr>
          <w:rFonts w:hint="eastAsia" w:ascii="仿宋" w:hAnsi="仿宋" w:eastAsia="仿宋" w:cs="仿宋"/>
          <w:sz w:val="32"/>
          <w:szCs w:val="32"/>
          <w:u w:val="single"/>
          <w:lang w:val="en-US" w:eastAsia="zh-CN"/>
        </w:rPr>
        <w:t xml:space="preserve">       2025年12月7日</w:t>
      </w:r>
      <w:r>
        <w:rPr>
          <w:rFonts w:hint="eastAsia" w:ascii="仿宋" w:hAnsi="仿宋" w:eastAsia="仿宋" w:cs="仿宋"/>
          <w:sz w:val="32"/>
          <w:szCs w:val="32"/>
          <w:u w:val="single"/>
          <w:lang w:eastAsia="zh-CN"/>
        </w:rPr>
        <w:t>_______</w:t>
      </w:r>
    </w:p>
    <w:p w14:paraId="485605BF">
      <w:pPr>
        <w:spacing w:before="0" w:beforeLines="0" w:after="0" w:afterLines="0" w:line="240" w:lineRule="auto"/>
        <w:ind w:left="0" w:leftChars="0" w:right="0" w:rightChars="0" w:firstLine="0" w:firstLineChars="0"/>
        <w:jc w:val="both"/>
        <w:rPr>
          <w:rFonts w:ascii="宋体" w:hAnsi="宋体" w:eastAsia="宋体" w:cstheme="minorBidi"/>
          <w:sz w:val="21"/>
          <w:szCs w:val="22"/>
          <w:u w:val="single"/>
        </w:rPr>
        <w:sectPr>
          <w:headerReference r:id="rId3" w:type="default"/>
          <w:footerReference r:id="rId4" w:type="default"/>
          <w:pgSz w:w="11905" w:h="16840"/>
          <w:cols w:space="720" w:num="1"/>
        </w:sectPr>
      </w:pPr>
    </w:p>
    <w:sdt>
      <w:sdtPr>
        <w:rPr>
          <w:rFonts w:ascii="宋体" w:hAnsi="宋体" w:eastAsia="宋体" w:cstheme="minorBidi"/>
          <w:sz w:val="21"/>
          <w:szCs w:val="22"/>
        </w:rPr>
        <w:id w:val="147453637"/>
        <w15:color w:val="DBDBDB"/>
        <w:docPartObj>
          <w:docPartGallery w:val="Table of Contents"/>
          <w:docPartUnique/>
        </w:docPartObj>
      </w:sdtPr>
      <w:sdtEndPr>
        <w:rPr>
          <w:rFonts w:hint="eastAsia" w:ascii="仿宋" w:hAnsi="仿宋" w:eastAsia="仿宋" w:cs="仿宋"/>
          <w:sz w:val="21"/>
          <w:szCs w:val="32"/>
          <w:lang w:eastAsia="zh-CN"/>
        </w:rPr>
      </w:sdtEndPr>
      <w:sdtContent>
        <w:p w14:paraId="3870821C">
          <w:pPr>
            <w:spacing w:before="0" w:beforeLines="0" w:after="0" w:afterLines="0" w:line="240" w:lineRule="auto"/>
            <w:ind w:left="0" w:leftChars="0" w:right="0" w:rightChars="0" w:firstLine="0" w:firstLineChars="0"/>
            <w:jc w:val="center"/>
            <w:rPr>
              <w:rFonts w:eastAsia="黑体"/>
              <w:sz w:val="44"/>
              <w:szCs w:val="44"/>
            </w:rPr>
          </w:pPr>
          <w:r>
            <w:rPr>
              <w:rFonts w:ascii="宋体" w:hAnsi="宋体" w:eastAsia="黑体"/>
              <w:sz w:val="44"/>
              <w:szCs w:val="44"/>
            </w:rPr>
            <w:t>目录</w:t>
          </w:r>
        </w:p>
        <w:p w14:paraId="339C4B4E">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TOC \o "1-2" \h \u </w:instrText>
          </w:r>
          <w:r>
            <w:rPr>
              <w:rFonts w:hint="eastAsia" w:ascii="仿宋" w:hAnsi="仿宋" w:eastAsia="黑体" w:cs="仿宋"/>
              <w:sz w:val="32"/>
              <w:szCs w:val="32"/>
              <w:lang w:eastAsia="zh-CN"/>
            </w:rPr>
            <w:fldChar w:fldCharType="separate"/>
          </w:r>
        </w:p>
        <w:p w14:paraId="38D17622">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_Toc31948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一、项目背景市场机会分析</w:t>
          </w:r>
          <w:r>
            <w:rPr>
              <w:rFonts w:eastAsia="黑体"/>
              <w:sz w:val="32"/>
              <w:szCs w:val="32"/>
            </w:rPr>
            <w:tab/>
          </w:r>
          <w:r>
            <w:rPr>
              <w:rFonts w:eastAsia="黑体"/>
              <w:sz w:val="32"/>
              <w:szCs w:val="32"/>
            </w:rPr>
            <w:fldChar w:fldCharType="begin"/>
          </w:r>
          <w:r>
            <w:rPr>
              <w:rFonts w:eastAsia="黑体"/>
              <w:sz w:val="32"/>
              <w:szCs w:val="32"/>
            </w:rPr>
            <w:instrText xml:space="preserve"> PAGEREF _Toc31948 \h </w:instrText>
          </w:r>
          <w:r>
            <w:rPr>
              <w:rFonts w:eastAsia="黑体"/>
              <w:sz w:val="32"/>
              <w:szCs w:val="32"/>
            </w:rPr>
            <w:fldChar w:fldCharType="separate"/>
          </w:r>
          <w:r>
            <w:rPr>
              <w:rFonts w:eastAsia="黑体"/>
              <w:sz w:val="32"/>
              <w:szCs w:val="32"/>
            </w:rPr>
            <w:t>2</w:t>
          </w:r>
          <w:r>
            <w:rPr>
              <w:rFonts w:eastAsia="黑体"/>
              <w:sz w:val="32"/>
              <w:szCs w:val="32"/>
            </w:rPr>
            <w:fldChar w:fldCharType="end"/>
          </w:r>
          <w:r>
            <w:rPr>
              <w:rFonts w:hint="eastAsia" w:ascii="仿宋" w:hAnsi="仿宋" w:eastAsia="黑体" w:cs="仿宋"/>
              <w:sz w:val="32"/>
              <w:szCs w:val="32"/>
              <w:lang w:eastAsia="zh-CN"/>
            </w:rPr>
            <w:fldChar w:fldCharType="end"/>
          </w:r>
        </w:p>
        <w:p w14:paraId="07D15ECA">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_Toc24573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二、市场分析与项目定位</w:t>
          </w:r>
          <w:r>
            <w:rPr>
              <w:rFonts w:eastAsia="黑体"/>
              <w:sz w:val="32"/>
              <w:szCs w:val="32"/>
            </w:rPr>
            <w:tab/>
          </w:r>
          <w:r>
            <w:rPr>
              <w:rFonts w:eastAsia="黑体"/>
              <w:sz w:val="32"/>
              <w:szCs w:val="32"/>
            </w:rPr>
            <w:fldChar w:fldCharType="begin"/>
          </w:r>
          <w:r>
            <w:rPr>
              <w:rFonts w:eastAsia="黑体"/>
              <w:sz w:val="32"/>
              <w:szCs w:val="32"/>
            </w:rPr>
            <w:instrText xml:space="preserve"> PAGEREF _Toc24573 \h </w:instrText>
          </w:r>
          <w:r>
            <w:rPr>
              <w:rFonts w:eastAsia="黑体"/>
              <w:sz w:val="32"/>
              <w:szCs w:val="32"/>
            </w:rPr>
            <w:fldChar w:fldCharType="separate"/>
          </w:r>
          <w:r>
            <w:rPr>
              <w:rFonts w:eastAsia="黑体"/>
              <w:sz w:val="32"/>
              <w:szCs w:val="32"/>
            </w:rPr>
            <w:t>2</w:t>
          </w:r>
          <w:r>
            <w:rPr>
              <w:rFonts w:eastAsia="黑体"/>
              <w:sz w:val="32"/>
              <w:szCs w:val="32"/>
            </w:rPr>
            <w:fldChar w:fldCharType="end"/>
          </w:r>
          <w:r>
            <w:rPr>
              <w:rFonts w:hint="eastAsia" w:ascii="仿宋" w:hAnsi="仿宋" w:eastAsia="黑体" w:cs="仿宋"/>
              <w:sz w:val="32"/>
              <w:szCs w:val="32"/>
              <w:lang w:eastAsia="zh-CN"/>
            </w:rPr>
            <w:fldChar w:fldCharType="end"/>
          </w:r>
        </w:p>
        <w:p w14:paraId="610A82C5">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_Toc2222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三、产品设计与商业模式</w:t>
          </w:r>
          <w:r>
            <w:rPr>
              <w:rFonts w:eastAsia="黑体"/>
              <w:sz w:val="32"/>
              <w:szCs w:val="32"/>
            </w:rPr>
            <w:tab/>
          </w:r>
          <w:r>
            <w:rPr>
              <w:rFonts w:eastAsia="黑体"/>
              <w:sz w:val="32"/>
              <w:szCs w:val="32"/>
            </w:rPr>
            <w:fldChar w:fldCharType="begin"/>
          </w:r>
          <w:r>
            <w:rPr>
              <w:rFonts w:eastAsia="黑体"/>
              <w:sz w:val="32"/>
              <w:szCs w:val="32"/>
            </w:rPr>
            <w:instrText xml:space="preserve"> PAGEREF _Toc2222 \h </w:instrText>
          </w:r>
          <w:r>
            <w:rPr>
              <w:rFonts w:eastAsia="黑体"/>
              <w:sz w:val="32"/>
              <w:szCs w:val="32"/>
            </w:rPr>
            <w:fldChar w:fldCharType="separate"/>
          </w:r>
          <w:r>
            <w:rPr>
              <w:rFonts w:eastAsia="黑体"/>
              <w:sz w:val="32"/>
              <w:szCs w:val="32"/>
            </w:rPr>
            <w:t>4</w:t>
          </w:r>
          <w:r>
            <w:rPr>
              <w:rFonts w:eastAsia="黑体"/>
              <w:sz w:val="32"/>
              <w:szCs w:val="32"/>
            </w:rPr>
            <w:fldChar w:fldCharType="end"/>
          </w:r>
          <w:r>
            <w:rPr>
              <w:rFonts w:hint="eastAsia" w:ascii="仿宋" w:hAnsi="仿宋" w:eastAsia="黑体" w:cs="仿宋"/>
              <w:sz w:val="32"/>
              <w:szCs w:val="32"/>
              <w:lang w:eastAsia="zh-CN"/>
            </w:rPr>
            <w:fldChar w:fldCharType="end"/>
          </w:r>
        </w:p>
        <w:p w14:paraId="10312909">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_Toc20221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四、发展战略与行动计划</w:t>
          </w:r>
          <w:r>
            <w:rPr>
              <w:rFonts w:eastAsia="黑体"/>
              <w:sz w:val="32"/>
              <w:szCs w:val="32"/>
            </w:rPr>
            <w:tab/>
          </w:r>
          <w:r>
            <w:rPr>
              <w:rFonts w:eastAsia="黑体"/>
              <w:sz w:val="32"/>
              <w:szCs w:val="32"/>
            </w:rPr>
            <w:fldChar w:fldCharType="begin"/>
          </w:r>
          <w:r>
            <w:rPr>
              <w:rFonts w:eastAsia="黑体"/>
              <w:sz w:val="32"/>
              <w:szCs w:val="32"/>
            </w:rPr>
            <w:instrText xml:space="preserve"> PAGEREF _Toc20221 \h </w:instrText>
          </w:r>
          <w:r>
            <w:rPr>
              <w:rFonts w:eastAsia="黑体"/>
              <w:sz w:val="32"/>
              <w:szCs w:val="32"/>
            </w:rPr>
            <w:fldChar w:fldCharType="separate"/>
          </w:r>
          <w:r>
            <w:rPr>
              <w:rFonts w:eastAsia="黑体"/>
              <w:sz w:val="32"/>
              <w:szCs w:val="32"/>
            </w:rPr>
            <w:t>5</w:t>
          </w:r>
          <w:r>
            <w:rPr>
              <w:rFonts w:eastAsia="黑体"/>
              <w:sz w:val="32"/>
              <w:szCs w:val="32"/>
            </w:rPr>
            <w:fldChar w:fldCharType="end"/>
          </w:r>
          <w:r>
            <w:rPr>
              <w:rFonts w:hint="eastAsia" w:ascii="仿宋" w:hAnsi="仿宋" w:eastAsia="黑体" w:cs="仿宋"/>
              <w:sz w:val="32"/>
              <w:szCs w:val="32"/>
              <w:lang w:eastAsia="zh-CN"/>
            </w:rPr>
            <w:fldChar w:fldCharType="end"/>
          </w:r>
        </w:p>
        <w:p w14:paraId="4AC86A2F">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_Toc21845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五、竞争分析与营销策略</w:t>
          </w:r>
          <w:r>
            <w:rPr>
              <w:rFonts w:eastAsia="黑体"/>
              <w:sz w:val="32"/>
              <w:szCs w:val="32"/>
            </w:rPr>
            <w:tab/>
          </w:r>
          <w:r>
            <w:rPr>
              <w:rFonts w:eastAsia="黑体"/>
              <w:sz w:val="32"/>
              <w:szCs w:val="32"/>
            </w:rPr>
            <w:fldChar w:fldCharType="begin"/>
          </w:r>
          <w:r>
            <w:rPr>
              <w:rFonts w:eastAsia="黑体"/>
              <w:sz w:val="32"/>
              <w:szCs w:val="32"/>
            </w:rPr>
            <w:instrText xml:space="preserve"> PAGEREF _Toc21845 \h </w:instrText>
          </w:r>
          <w:r>
            <w:rPr>
              <w:rFonts w:eastAsia="黑体"/>
              <w:sz w:val="32"/>
              <w:szCs w:val="32"/>
            </w:rPr>
            <w:fldChar w:fldCharType="separate"/>
          </w:r>
          <w:r>
            <w:rPr>
              <w:rFonts w:eastAsia="黑体"/>
              <w:sz w:val="32"/>
              <w:szCs w:val="32"/>
            </w:rPr>
            <w:t>6</w:t>
          </w:r>
          <w:r>
            <w:rPr>
              <w:rFonts w:eastAsia="黑体"/>
              <w:sz w:val="32"/>
              <w:szCs w:val="32"/>
            </w:rPr>
            <w:fldChar w:fldCharType="end"/>
          </w:r>
          <w:r>
            <w:rPr>
              <w:rFonts w:hint="eastAsia" w:ascii="仿宋" w:hAnsi="仿宋" w:eastAsia="黑体" w:cs="仿宋"/>
              <w:sz w:val="32"/>
              <w:szCs w:val="32"/>
              <w:lang w:eastAsia="zh-CN"/>
            </w:rPr>
            <w:fldChar w:fldCharType="end"/>
          </w:r>
        </w:p>
        <w:p w14:paraId="356C700D">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_Toc10032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六、研发、生产、经营安排</w:t>
          </w:r>
          <w:r>
            <w:rPr>
              <w:rFonts w:eastAsia="黑体"/>
              <w:sz w:val="32"/>
              <w:szCs w:val="32"/>
            </w:rPr>
            <w:tab/>
          </w:r>
          <w:r>
            <w:rPr>
              <w:rFonts w:eastAsia="黑体"/>
              <w:sz w:val="32"/>
              <w:szCs w:val="32"/>
            </w:rPr>
            <w:fldChar w:fldCharType="begin"/>
          </w:r>
          <w:r>
            <w:rPr>
              <w:rFonts w:eastAsia="黑体"/>
              <w:sz w:val="32"/>
              <w:szCs w:val="32"/>
            </w:rPr>
            <w:instrText xml:space="preserve"> PAGEREF _Toc10032 \h </w:instrText>
          </w:r>
          <w:r>
            <w:rPr>
              <w:rFonts w:eastAsia="黑体"/>
              <w:sz w:val="32"/>
              <w:szCs w:val="32"/>
            </w:rPr>
            <w:fldChar w:fldCharType="separate"/>
          </w:r>
          <w:r>
            <w:rPr>
              <w:rFonts w:eastAsia="黑体"/>
              <w:sz w:val="32"/>
              <w:szCs w:val="32"/>
            </w:rPr>
            <w:t>6</w:t>
          </w:r>
          <w:r>
            <w:rPr>
              <w:rFonts w:eastAsia="黑体"/>
              <w:sz w:val="32"/>
              <w:szCs w:val="32"/>
            </w:rPr>
            <w:fldChar w:fldCharType="end"/>
          </w:r>
          <w:r>
            <w:rPr>
              <w:rFonts w:hint="eastAsia" w:ascii="仿宋" w:hAnsi="仿宋" w:eastAsia="黑体" w:cs="仿宋"/>
              <w:sz w:val="32"/>
              <w:szCs w:val="32"/>
              <w:lang w:eastAsia="zh-CN"/>
            </w:rPr>
            <w:fldChar w:fldCharType="end"/>
          </w:r>
        </w:p>
        <w:p w14:paraId="244D8A6D">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_Toc28904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七、团队与组织结构</w:t>
          </w:r>
          <w:r>
            <w:rPr>
              <w:rFonts w:eastAsia="黑体"/>
              <w:sz w:val="32"/>
              <w:szCs w:val="32"/>
            </w:rPr>
            <w:tab/>
          </w:r>
          <w:r>
            <w:rPr>
              <w:rFonts w:eastAsia="黑体"/>
              <w:sz w:val="32"/>
              <w:szCs w:val="32"/>
            </w:rPr>
            <w:fldChar w:fldCharType="begin"/>
          </w:r>
          <w:r>
            <w:rPr>
              <w:rFonts w:eastAsia="黑体"/>
              <w:sz w:val="32"/>
              <w:szCs w:val="32"/>
            </w:rPr>
            <w:instrText xml:space="preserve"> PAGEREF _Toc28904 \h </w:instrText>
          </w:r>
          <w:r>
            <w:rPr>
              <w:rFonts w:eastAsia="黑体"/>
              <w:sz w:val="32"/>
              <w:szCs w:val="32"/>
            </w:rPr>
            <w:fldChar w:fldCharType="separate"/>
          </w:r>
          <w:r>
            <w:rPr>
              <w:rFonts w:eastAsia="黑体"/>
              <w:sz w:val="32"/>
              <w:szCs w:val="32"/>
            </w:rPr>
            <w:t>7</w:t>
          </w:r>
          <w:r>
            <w:rPr>
              <w:rFonts w:eastAsia="黑体"/>
              <w:sz w:val="32"/>
              <w:szCs w:val="32"/>
            </w:rPr>
            <w:fldChar w:fldCharType="end"/>
          </w:r>
          <w:r>
            <w:rPr>
              <w:rFonts w:hint="eastAsia" w:ascii="仿宋" w:hAnsi="仿宋" w:eastAsia="黑体" w:cs="仿宋"/>
              <w:sz w:val="32"/>
              <w:szCs w:val="32"/>
              <w:lang w:eastAsia="zh-CN"/>
            </w:rPr>
            <w:fldChar w:fldCharType="end"/>
          </w:r>
        </w:p>
        <w:p w14:paraId="59D79F6E">
          <w:pPr>
            <w:pStyle w:val="5"/>
            <w:tabs>
              <w:tab w:val="right" w:leader="dot" w:pos="8305"/>
            </w:tabs>
            <w:jc w:val="right"/>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_Toc19481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八、资金规划与财务需求</w:t>
          </w:r>
          <w:r>
            <w:rPr>
              <w:rFonts w:eastAsia="黑体"/>
              <w:sz w:val="32"/>
              <w:szCs w:val="32"/>
            </w:rPr>
            <w:tab/>
          </w:r>
          <w:r>
            <w:rPr>
              <w:rFonts w:eastAsia="黑体"/>
              <w:sz w:val="32"/>
              <w:szCs w:val="32"/>
            </w:rPr>
            <w:fldChar w:fldCharType="begin"/>
          </w:r>
          <w:r>
            <w:rPr>
              <w:rFonts w:eastAsia="黑体"/>
              <w:sz w:val="32"/>
              <w:szCs w:val="32"/>
            </w:rPr>
            <w:instrText xml:space="preserve"> PAGEREF _Toc19481 \h </w:instrText>
          </w:r>
          <w:r>
            <w:rPr>
              <w:rFonts w:eastAsia="黑体"/>
              <w:sz w:val="32"/>
              <w:szCs w:val="32"/>
            </w:rPr>
            <w:fldChar w:fldCharType="separate"/>
          </w:r>
          <w:r>
            <w:rPr>
              <w:rFonts w:eastAsia="黑体"/>
              <w:sz w:val="32"/>
              <w:szCs w:val="32"/>
            </w:rPr>
            <w:t>8</w:t>
          </w:r>
          <w:r>
            <w:rPr>
              <w:rFonts w:eastAsia="黑体"/>
              <w:sz w:val="32"/>
              <w:szCs w:val="32"/>
            </w:rPr>
            <w:fldChar w:fldCharType="end"/>
          </w:r>
          <w:r>
            <w:rPr>
              <w:rFonts w:hint="eastAsia" w:ascii="仿宋" w:hAnsi="仿宋" w:eastAsia="黑体" w:cs="仿宋"/>
              <w:sz w:val="32"/>
              <w:szCs w:val="32"/>
              <w:lang w:eastAsia="zh-CN"/>
            </w:rPr>
            <w:fldChar w:fldCharType="end"/>
          </w:r>
        </w:p>
        <w:p w14:paraId="6415A488">
          <w:pPr>
            <w:pStyle w:val="6"/>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_Toc28394 </w:instrText>
          </w:r>
          <w:r>
            <w:rPr>
              <w:rFonts w:hint="eastAsia" w:ascii="仿宋" w:hAnsi="仿宋" w:eastAsia="黑体" w:cs="仿宋"/>
              <w:sz w:val="32"/>
              <w:szCs w:val="32"/>
              <w:lang w:eastAsia="zh-CN"/>
            </w:rPr>
            <w:fldChar w:fldCharType="separate"/>
          </w:r>
          <w:r>
            <w:rPr>
              <w:rFonts w:ascii="仿宋" w:hAnsi="仿宋" w:eastAsia="黑体" w:cs="仿宋"/>
              <w:sz w:val="32"/>
              <w:szCs w:val="32"/>
            </w:rPr>
            <w:t>（一）资本结构</w:t>
          </w:r>
          <w:r>
            <w:rPr>
              <w:rFonts w:eastAsia="黑体"/>
              <w:sz w:val="32"/>
              <w:szCs w:val="32"/>
            </w:rPr>
            <w:tab/>
          </w:r>
          <w:r>
            <w:rPr>
              <w:rFonts w:eastAsia="黑体"/>
              <w:sz w:val="32"/>
              <w:szCs w:val="32"/>
            </w:rPr>
            <w:fldChar w:fldCharType="begin"/>
          </w:r>
          <w:r>
            <w:rPr>
              <w:rFonts w:eastAsia="黑体"/>
              <w:sz w:val="32"/>
              <w:szCs w:val="32"/>
            </w:rPr>
            <w:instrText xml:space="preserve"> PAGEREF _Toc28394 \h </w:instrText>
          </w:r>
          <w:r>
            <w:rPr>
              <w:rFonts w:eastAsia="黑体"/>
              <w:sz w:val="32"/>
              <w:szCs w:val="32"/>
            </w:rPr>
            <w:fldChar w:fldCharType="separate"/>
          </w:r>
          <w:r>
            <w:rPr>
              <w:rFonts w:eastAsia="黑体"/>
              <w:sz w:val="32"/>
              <w:szCs w:val="32"/>
            </w:rPr>
            <w:t>8</w:t>
          </w:r>
          <w:r>
            <w:rPr>
              <w:rFonts w:eastAsia="黑体"/>
              <w:sz w:val="32"/>
              <w:szCs w:val="32"/>
            </w:rPr>
            <w:fldChar w:fldCharType="end"/>
          </w:r>
          <w:r>
            <w:rPr>
              <w:rFonts w:hint="eastAsia" w:ascii="仿宋" w:hAnsi="仿宋" w:eastAsia="黑体" w:cs="仿宋"/>
              <w:sz w:val="32"/>
              <w:szCs w:val="32"/>
              <w:lang w:eastAsia="zh-CN"/>
            </w:rPr>
            <w:fldChar w:fldCharType="end"/>
          </w:r>
        </w:p>
        <w:p w14:paraId="3E44A005">
          <w:pPr>
            <w:pStyle w:val="6"/>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_Toc4340 </w:instrText>
          </w:r>
          <w:r>
            <w:rPr>
              <w:rFonts w:hint="eastAsia" w:ascii="仿宋" w:hAnsi="仿宋" w:eastAsia="黑体" w:cs="仿宋"/>
              <w:sz w:val="32"/>
              <w:szCs w:val="32"/>
              <w:lang w:eastAsia="zh-CN"/>
            </w:rPr>
            <w:fldChar w:fldCharType="separate"/>
          </w:r>
          <w:r>
            <w:rPr>
              <w:rFonts w:ascii="仿宋" w:hAnsi="仿宋" w:eastAsia="黑体" w:cs="仿宋"/>
              <w:sz w:val="32"/>
              <w:szCs w:val="32"/>
            </w:rPr>
            <w:t>（二）融资方案</w:t>
          </w:r>
          <w:r>
            <w:rPr>
              <w:rFonts w:eastAsia="黑体"/>
              <w:sz w:val="32"/>
              <w:szCs w:val="32"/>
            </w:rPr>
            <w:tab/>
          </w:r>
          <w:r>
            <w:rPr>
              <w:rFonts w:eastAsia="黑体"/>
              <w:sz w:val="32"/>
              <w:szCs w:val="32"/>
            </w:rPr>
            <w:fldChar w:fldCharType="begin"/>
          </w:r>
          <w:r>
            <w:rPr>
              <w:rFonts w:eastAsia="黑体"/>
              <w:sz w:val="32"/>
              <w:szCs w:val="32"/>
            </w:rPr>
            <w:instrText xml:space="preserve"> PAGEREF _Toc4340 \h </w:instrText>
          </w:r>
          <w:r>
            <w:rPr>
              <w:rFonts w:eastAsia="黑体"/>
              <w:sz w:val="32"/>
              <w:szCs w:val="32"/>
            </w:rPr>
            <w:fldChar w:fldCharType="separate"/>
          </w:r>
          <w:r>
            <w:rPr>
              <w:rFonts w:eastAsia="黑体"/>
              <w:sz w:val="32"/>
              <w:szCs w:val="32"/>
            </w:rPr>
            <w:t>8</w:t>
          </w:r>
          <w:r>
            <w:rPr>
              <w:rFonts w:eastAsia="黑体"/>
              <w:sz w:val="32"/>
              <w:szCs w:val="32"/>
            </w:rPr>
            <w:fldChar w:fldCharType="end"/>
          </w:r>
          <w:r>
            <w:rPr>
              <w:rFonts w:hint="eastAsia" w:ascii="仿宋" w:hAnsi="仿宋" w:eastAsia="黑体" w:cs="仿宋"/>
              <w:sz w:val="32"/>
              <w:szCs w:val="32"/>
              <w:lang w:eastAsia="zh-CN"/>
            </w:rPr>
            <w:fldChar w:fldCharType="end"/>
          </w:r>
        </w:p>
        <w:p w14:paraId="1C734C17">
          <w:pPr>
            <w:pStyle w:val="6"/>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_Toc21582 </w:instrText>
          </w:r>
          <w:r>
            <w:rPr>
              <w:rFonts w:hint="eastAsia" w:ascii="仿宋" w:hAnsi="仿宋" w:eastAsia="黑体" w:cs="仿宋"/>
              <w:sz w:val="32"/>
              <w:szCs w:val="32"/>
              <w:lang w:eastAsia="zh-CN"/>
            </w:rPr>
            <w:fldChar w:fldCharType="separate"/>
          </w:r>
          <w:r>
            <w:rPr>
              <w:rFonts w:ascii="仿宋" w:hAnsi="仿宋" w:eastAsia="黑体" w:cs="仿宋"/>
              <w:sz w:val="32"/>
              <w:szCs w:val="32"/>
            </w:rPr>
            <w:t>（三）资金运营计划</w:t>
          </w:r>
          <w:r>
            <w:rPr>
              <w:rFonts w:eastAsia="黑体"/>
              <w:sz w:val="32"/>
              <w:szCs w:val="32"/>
            </w:rPr>
            <w:tab/>
          </w:r>
          <w:r>
            <w:rPr>
              <w:rFonts w:eastAsia="黑体"/>
              <w:sz w:val="32"/>
              <w:szCs w:val="32"/>
            </w:rPr>
            <w:fldChar w:fldCharType="begin"/>
          </w:r>
          <w:r>
            <w:rPr>
              <w:rFonts w:eastAsia="黑体"/>
              <w:sz w:val="32"/>
              <w:szCs w:val="32"/>
            </w:rPr>
            <w:instrText xml:space="preserve"> PAGEREF _Toc21582 \h </w:instrText>
          </w:r>
          <w:r>
            <w:rPr>
              <w:rFonts w:eastAsia="黑体"/>
              <w:sz w:val="32"/>
              <w:szCs w:val="32"/>
            </w:rPr>
            <w:fldChar w:fldCharType="separate"/>
          </w:r>
          <w:r>
            <w:rPr>
              <w:rFonts w:eastAsia="黑体"/>
              <w:sz w:val="32"/>
              <w:szCs w:val="32"/>
            </w:rPr>
            <w:t>9</w:t>
          </w:r>
          <w:r>
            <w:rPr>
              <w:rFonts w:eastAsia="黑体"/>
              <w:sz w:val="32"/>
              <w:szCs w:val="32"/>
            </w:rPr>
            <w:fldChar w:fldCharType="end"/>
          </w:r>
          <w:r>
            <w:rPr>
              <w:rFonts w:hint="eastAsia" w:ascii="仿宋" w:hAnsi="仿宋" w:eastAsia="黑体" w:cs="仿宋"/>
              <w:sz w:val="32"/>
              <w:szCs w:val="32"/>
              <w:lang w:eastAsia="zh-CN"/>
            </w:rPr>
            <w:fldChar w:fldCharType="end"/>
          </w:r>
        </w:p>
        <w:p w14:paraId="65386BB5">
          <w:pPr>
            <w:pStyle w:val="6"/>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_Toc29451 </w:instrText>
          </w:r>
          <w:r>
            <w:rPr>
              <w:rFonts w:hint="eastAsia" w:ascii="仿宋" w:hAnsi="仿宋" w:eastAsia="黑体" w:cs="仿宋"/>
              <w:sz w:val="32"/>
              <w:szCs w:val="32"/>
              <w:lang w:eastAsia="zh-CN"/>
            </w:rPr>
            <w:fldChar w:fldCharType="separate"/>
          </w:r>
          <w:r>
            <w:rPr>
              <w:rFonts w:ascii="仿宋" w:hAnsi="仿宋" w:eastAsia="黑体" w:cs="仿宋"/>
              <w:sz w:val="32"/>
              <w:szCs w:val="32"/>
            </w:rPr>
            <w:t>（四）基本财务假设</w:t>
          </w:r>
          <w:r>
            <w:rPr>
              <w:rFonts w:eastAsia="黑体"/>
              <w:sz w:val="32"/>
              <w:szCs w:val="32"/>
            </w:rPr>
            <w:tab/>
          </w:r>
          <w:r>
            <w:rPr>
              <w:rFonts w:eastAsia="黑体"/>
              <w:sz w:val="32"/>
              <w:szCs w:val="32"/>
            </w:rPr>
            <w:fldChar w:fldCharType="begin"/>
          </w:r>
          <w:r>
            <w:rPr>
              <w:rFonts w:eastAsia="黑体"/>
              <w:sz w:val="32"/>
              <w:szCs w:val="32"/>
            </w:rPr>
            <w:instrText xml:space="preserve"> PAGEREF _Toc29451 \h </w:instrText>
          </w:r>
          <w:r>
            <w:rPr>
              <w:rFonts w:eastAsia="黑体"/>
              <w:sz w:val="32"/>
              <w:szCs w:val="32"/>
            </w:rPr>
            <w:fldChar w:fldCharType="separate"/>
          </w:r>
          <w:r>
            <w:rPr>
              <w:rFonts w:eastAsia="黑体"/>
              <w:sz w:val="32"/>
              <w:szCs w:val="32"/>
            </w:rPr>
            <w:t>10</w:t>
          </w:r>
          <w:r>
            <w:rPr>
              <w:rFonts w:eastAsia="黑体"/>
              <w:sz w:val="32"/>
              <w:szCs w:val="32"/>
            </w:rPr>
            <w:fldChar w:fldCharType="end"/>
          </w:r>
          <w:r>
            <w:rPr>
              <w:rFonts w:hint="eastAsia" w:ascii="仿宋" w:hAnsi="仿宋" w:eastAsia="黑体" w:cs="仿宋"/>
              <w:sz w:val="32"/>
              <w:szCs w:val="32"/>
              <w:lang w:eastAsia="zh-CN"/>
            </w:rPr>
            <w:fldChar w:fldCharType="end"/>
          </w:r>
        </w:p>
        <w:p w14:paraId="335DD261">
          <w:pPr>
            <w:pStyle w:val="5"/>
            <w:tabs>
              <w:tab w:val="right" w:leader="dot" w:pos="8305"/>
            </w:tabs>
            <w:rPr>
              <w:rFonts w:eastAsia="黑体"/>
              <w:sz w:val="32"/>
              <w:szCs w:val="32"/>
            </w:rPr>
          </w:pPr>
          <w:r>
            <w:rPr>
              <w:rFonts w:hint="eastAsia" w:ascii="仿宋" w:hAnsi="仿宋" w:eastAsia="黑体" w:cs="仿宋"/>
              <w:sz w:val="32"/>
              <w:szCs w:val="32"/>
              <w:lang w:eastAsia="zh-CN"/>
            </w:rPr>
            <w:fldChar w:fldCharType="begin"/>
          </w:r>
          <w:r>
            <w:rPr>
              <w:rFonts w:hint="eastAsia" w:ascii="仿宋" w:hAnsi="仿宋" w:eastAsia="黑体" w:cs="仿宋"/>
              <w:sz w:val="32"/>
              <w:szCs w:val="32"/>
              <w:lang w:eastAsia="zh-CN"/>
            </w:rPr>
            <w:instrText xml:space="preserve"> HYPERLINK \l _Toc27880 </w:instrText>
          </w:r>
          <w:r>
            <w:rPr>
              <w:rFonts w:hint="eastAsia" w:ascii="仿宋" w:hAnsi="仿宋" w:eastAsia="黑体" w:cs="仿宋"/>
              <w:sz w:val="32"/>
              <w:szCs w:val="32"/>
              <w:lang w:eastAsia="zh-CN"/>
            </w:rPr>
            <w:fldChar w:fldCharType="separate"/>
          </w:r>
          <w:r>
            <w:rPr>
              <w:rFonts w:ascii="仿宋" w:hAnsi="仿宋" w:eastAsia="黑体" w:cs="仿宋"/>
              <w:sz w:val="32"/>
              <w:szCs w:val="32"/>
              <w:shd w:val="clear" w:color="auto" w:fill="auto"/>
            </w:rPr>
            <w:t>九、关键风险认识</w:t>
          </w:r>
          <w:r>
            <w:rPr>
              <w:rFonts w:eastAsia="黑体"/>
              <w:sz w:val="32"/>
              <w:szCs w:val="32"/>
            </w:rPr>
            <w:tab/>
          </w:r>
          <w:r>
            <w:rPr>
              <w:rFonts w:eastAsia="黑体"/>
              <w:sz w:val="32"/>
              <w:szCs w:val="32"/>
            </w:rPr>
            <w:fldChar w:fldCharType="begin"/>
          </w:r>
          <w:r>
            <w:rPr>
              <w:rFonts w:eastAsia="黑体"/>
              <w:sz w:val="32"/>
              <w:szCs w:val="32"/>
            </w:rPr>
            <w:instrText xml:space="preserve"> PAGEREF _Toc27880 \h </w:instrText>
          </w:r>
          <w:r>
            <w:rPr>
              <w:rFonts w:eastAsia="黑体"/>
              <w:sz w:val="32"/>
              <w:szCs w:val="32"/>
            </w:rPr>
            <w:fldChar w:fldCharType="separate"/>
          </w:r>
          <w:r>
            <w:rPr>
              <w:rFonts w:eastAsia="黑体"/>
              <w:sz w:val="32"/>
              <w:szCs w:val="32"/>
            </w:rPr>
            <w:t>11</w:t>
          </w:r>
          <w:r>
            <w:rPr>
              <w:rFonts w:eastAsia="黑体"/>
              <w:sz w:val="32"/>
              <w:szCs w:val="32"/>
            </w:rPr>
            <w:fldChar w:fldCharType="end"/>
          </w:r>
          <w:r>
            <w:rPr>
              <w:rFonts w:hint="eastAsia" w:ascii="仿宋" w:hAnsi="仿宋" w:eastAsia="黑体" w:cs="仿宋"/>
              <w:sz w:val="32"/>
              <w:szCs w:val="32"/>
              <w:lang w:eastAsia="zh-CN"/>
            </w:rPr>
            <w:fldChar w:fldCharType="end"/>
          </w:r>
        </w:p>
        <w:p w14:paraId="7ACF841C">
          <w:pPr>
            <w:spacing w:line="360" w:lineRule="auto"/>
            <w:ind w:firstLine="640" w:firstLineChars="200"/>
            <w:jc w:val="center"/>
            <w:rPr>
              <w:rFonts w:hint="eastAsia" w:ascii="仿宋" w:hAnsi="仿宋" w:eastAsia="仿宋" w:cs="仿宋"/>
              <w:sz w:val="21"/>
              <w:szCs w:val="32"/>
              <w:lang w:eastAsia="zh-CN"/>
            </w:rPr>
          </w:pPr>
          <w:r>
            <w:rPr>
              <w:rFonts w:hint="eastAsia" w:ascii="仿宋" w:hAnsi="仿宋" w:eastAsia="黑体" w:cs="仿宋"/>
              <w:sz w:val="32"/>
              <w:szCs w:val="32"/>
              <w:lang w:eastAsia="zh-CN"/>
            </w:rPr>
            <w:fldChar w:fldCharType="end"/>
          </w:r>
        </w:p>
      </w:sdtContent>
    </w:sdt>
    <w:p w14:paraId="23CC861E">
      <w:pPr>
        <w:spacing w:line="360" w:lineRule="auto"/>
        <w:ind w:firstLine="420" w:firstLineChars="200"/>
        <w:jc w:val="center"/>
        <w:rPr>
          <w:rFonts w:hint="eastAsia" w:ascii="仿宋" w:hAnsi="仿宋" w:eastAsia="仿宋" w:cs="仿宋"/>
          <w:sz w:val="21"/>
          <w:szCs w:val="32"/>
          <w:lang w:eastAsia="zh-CN"/>
        </w:rPr>
      </w:pPr>
    </w:p>
    <w:p w14:paraId="58C91806">
      <w:pPr>
        <w:spacing w:line="360" w:lineRule="auto"/>
        <w:rPr>
          <w:rFonts w:hint="eastAsia" w:ascii="仿宋" w:hAnsi="仿宋" w:eastAsia="仿宋" w:cs="仿宋"/>
          <w:sz w:val="32"/>
          <w:szCs w:val="32"/>
          <w:lang w:eastAsia="zh-CN"/>
        </w:rPr>
      </w:pPr>
    </w:p>
    <w:p w14:paraId="35AB73D3">
      <w:pPr>
        <w:rPr>
          <w:rFonts w:hint="eastAsia" w:ascii="仿宋" w:hAnsi="仿宋" w:eastAsia="仿宋" w:cs="仿宋"/>
          <w:sz w:val="32"/>
          <w:szCs w:val="32"/>
          <w:lang w:eastAsia="zh-CN"/>
        </w:rPr>
      </w:pPr>
      <w:r>
        <w:rPr>
          <w:rFonts w:hint="eastAsia" w:ascii="仿宋" w:hAnsi="仿宋" w:eastAsia="仿宋" w:cs="仿宋"/>
          <w:sz w:val="32"/>
          <w:szCs w:val="32"/>
          <w:lang w:eastAsia="zh-CN"/>
        </w:rPr>
        <w:br w:type="page"/>
      </w:r>
    </w:p>
    <w:p w14:paraId="26948186">
      <w:pPr>
        <w:spacing w:before="380" w:after="140" w:line="288" w:lineRule="auto"/>
        <w:ind w:left="0"/>
        <w:jc w:val="center"/>
        <w:outlineLvl w:val="0"/>
        <w:rPr>
          <w:rFonts w:ascii="仿宋" w:hAnsi="仿宋" w:eastAsia="仿宋" w:cs="仿宋"/>
          <w:sz w:val="32"/>
          <w:shd w:val="clear" w:color="auto" w:fill="auto"/>
        </w:rPr>
      </w:pPr>
      <w:bookmarkStart w:id="6" w:name="_Toc31948"/>
      <w:r>
        <w:rPr>
          <w:rFonts w:ascii="仿宋" w:hAnsi="仿宋" w:eastAsia="仿宋" w:cs="仿宋"/>
          <w:b/>
          <w:sz w:val="40"/>
          <w:szCs w:val="40"/>
          <w:shd w:val="clear" w:color="auto" w:fill="auto"/>
        </w:rPr>
        <w:t>一、项目背景市场机会分析</w:t>
      </w:r>
      <w:bookmarkEnd w:id="6"/>
    </w:p>
    <w:p w14:paraId="5797CB63">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在日常学习中，学生们常常面临学习空间不足、学习资源分散、个性化学习需求难以满足的问题。对于高校而言，如何为学生提供高效、便捷且个性化的学习支持，是提升教学服务质量的核心挑战之一。传统的自习室不仅存在座位紧张、开放时间受限的问题，还无法为学生提供针对性的学习资源匹配和学情分析服务，往往需要投入大量人力进行管理，且服务效率较低。</w:t>
      </w:r>
    </w:p>
    <w:p w14:paraId="34578A9C">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而AI自助学习舱将带来全新的学习体验，未来学生走进校园的AI学习舱区域，只需通过校园卡或人脸识别完成身份核验，系统就能根据其专业、课程进度和学习薄弱点，自动匹配专属学习资源，同时智能调节舱内的灯光、温度和隔音效果，打造沉浸式学习环境。搭建一个AI自助学习舱的基础模块仅需2天，相较于传统自习室的规划、装修、配置流程，其落地效率有着显著优势。</w:t>
      </w:r>
    </w:p>
    <w:p w14:paraId="1B20A124">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因此，高校可借助AI自助学习舱优化学习服务供给，无需投入大量成本建设和维护大规模固定自习空间，能有效降低场地闲置和人力管理成本。在校园服务升级阶段引入AI自助学习舱，有助于提升学习空间的利用率和服务精准度，进而增强校园服务的整体质量和学生满意度。</w:t>
      </w:r>
    </w:p>
    <w:p w14:paraId="3562B1ED">
      <w:pPr>
        <w:spacing w:before="380" w:after="140" w:line="288" w:lineRule="auto"/>
        <w:ind w:left="0"/>
        <w:jc w:val="center"/>
        <w:outlineLvl w:val="0"/>
        <w:rPr>
          <w:rFonts w:ascii="仿宋" w:hAnsi="仿宋" w:eastAsia="仿宋" w:cs="仿宋"/>
          <w:sz w:val="40"/>
          <w:szCs w:val="40"/>
          <w:shd w:val="clear" w:color="auto" w:fill="auto"/>
        </w:rPr>
      </w:pPr>
      <w:bookmarkStart w:id="7" w:name="_Toc24573"/>
      <w:bookmarkStart w:id="8" w:name="heading_4"/>
      <w:r>
        <w:rPr>
          <w:rFonts w:ascii="仿宋" w:hAnsi="仿宋" w:eastAsia="仿宋" w:cs="仿宋"/>
          <w:b/>
          <w:sz w:val="40"/>
          <w:szCs w:val="40"/>
          <w:shd w:val="clear" w:color="auto" w:fill="auto"/>
        </w:rPr>
        <w:t>二、市场分析与项目定位</w:t>
      </w:r>
      <w:bookmarkEnd w:id="7"/>
      <w:bookmarkEnd w:id="8"/>
    </w:p>
    <w:p w14:paraId="04A0827A">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AI自助学习舱具备以下核心特点：</w:t>
      </w:r>
    </w:p>
    <w:p w14:paraId="5A796938">
      <w:pPr>
        <w:keepNext w:val="0"/>
        <w:keepLines w:val="0"/>
        <w:pageBreakBefore w:val="0"/>
        <w:widowControl w:val="0"/>
        <w:numPr>
          <w:ilvl w:val="0"/>
          <w:numId w:val="2"/>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智能化学习场景构建</w:t>
      </w:r>
    </w:p>
    <w:p w14:paraId="2F0C9095">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从教育行业的发展趋势来看，智慧校园建设是高校现代化转型的重要标志，而每一次的技术革新都为校园服务升级提供了新方向。在数字化教育浪潮下，校园学习空间早已不局限于传统教室和自习室，而是逐渐融入更多智能科技元素，成为整合学习资源、适配个性化需求的综合服务载体。尤其是近年来智慧教育设备的快速普及，进一步推动了AI技术在校园学习场景的应用落地。</w:t>
      </w:r>
    </w:p>
    <w:p w14:paraId="41F7D472">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例如，某高校试点的智能学习舱，搭载了AI学情分析系统和资源匹配模块，学生可通过舱内终端调取专属学习计划，系统还能实时监测学习状态并推送提醒。该学习舱实现了“空间+资源+服务”的一体化整合，为学生打造了高度适配的学习场景，受到师生广泛好评。</w:t>
      </w:r>
    </w:p>
    <w:p w14:paraId="5111C791">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由此可见，未来校园学习空间将不再仅承担基础的学习场地功能，更多智能化、个性化的服务将在此延伸，AI自助学习舱正是实现这一转型的核心载体。</w:t>
      </w:r>
    </w:p>
    <w:p w14:paraId="4F661F57">
      <w:pPr>
        <w:keepNext w:val="0"/>
        <w:keepLines w:val="0"/>
        <w:pageBreakBefore w:val="0"/>
        <w:widowControl w:val="0"/>
        <w:numPr>
          <w:ilvl w:val="0"/>
          <w:numId w:val="3"/>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推进学习服务个性化定制进程</w:t>
      </w:r>
    </w:p>
    <w:p w14:paraId="549E7F3C">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AI自助学习舱的核心优势是能最大化满足学生的个性化学习需求。借助AI算法和大数据技术，学习舱可根据学生的课程成绩、学习时长、知识点掌握情况等数据，自动生成定制化学习方案，学生无需再为寻找适配资源而耗费时间。同时，学习舱支持自主预约和定制使用时段，无论是早间晨读、深夜攻坚还是小组研讨，都能灵活匹配。</w:t>
      </w:r>
    </w:p>
    <w:p w14:paraId="24DD26F4">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相较于传统自习室的统一化服务，AI自助学习舱实现了学习服务的私人定制。系统可通过校园数据接口获取学生的学业数据，快速建立个性化学习档案，无需学生反复提交信息或人工对接，大幅节省了沟通和适配成本。当前高校学生的自主学习意识和个性化需求日益增强，优质的定制化学习服务不再是少数人的专属，将AI自助学习舱引入校园，既能满足广大学生的个性化学习诉求，又降低了个性化学习服务的门槛，还能减少校园学习空间的管理压力，甚至支持学生自主预约、自主调控学习环境。</w:t>
      </w:r>
    </w:p>
    <w:p w14:paraId="2DFAD18A">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基于此，本项目将为高校内有个性化学习需求、对学习环境有较高要求的本科生、研究生提供服务。</w:t>
      </w:r>
    </w:p>
    <w:p w14:paraId="49854B09">
      <w:pPr>
        <w:keepNext w:val="0"/>
        <w:keepLines w:val="0"/>
        <w:pageBreakBefore w:val="0"/>
        <w:widowControl w:val="0"/>
        <w:numPr>
          <w:ilvl w:val="0"/>
          <w:numId w:val="4"/>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加速校园学习服务自动化运营</w:t>
      </w:r>
    </w:p>
    <w:p w14:paraId="7E382E9D">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无论是为单个学生提供定制服务，还是为大批量学生开放学习空间，AI自助学习舱的单位运营成本基本一致，这与传统校园学习空间的运营模式相比具备显著优势。由于AI自助学习舱采用了模块化搭建、智能自主管理的模式，且整合了线上学习资源，小批量部署和个性化服务的成本大幅降低，人力和场地投入也远低于传统自习室。</w:t>
      </w:r>
    </w:p>
    <w:p w14:paraId="5A3172A0">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将AI自助学习舱引入校园，可实现学习空间从预约、使用到服务反馈的全流程自动化，大幅缩短学习服务的响应时间，弥补了传统学习空间无法灵活适配个性化、小批量学习需求的短板。未来，高校后勤管理部门和创新创业团队无需投入大量资金建设固定自习场地或聘请专职管理人员，仅需部署AI自助学习舱并做好设备运维，即可高效满足学生的多元学习需求。</w:t>
      </w:r>
    </w:p>
    <w:p w14:paraId="5C874E6C">
      <w:pPr>
        <w:spacing w:before="380" w:after="140" w:line="288" w:lineRule="auto"/>
        <w:ind w:left="0"/>
        <w:jc w:val="center"/>
        <w:outlineLvl w:val="0"/>
        <w:rPr>
          <w:rFonts w:ascii="仿宋" w:hAnsi="仿宋" w:eastAsia="仿宋" w:cs="仿宋"/>
          <w:sz w:val="40"/>
          <w:szCs w:val="40"/>
          <w:shd w:val="clear" w:color="auto" w:fill="auto"/>
        </w:rPr>
      </w:pPr>
      <w:bookmarkStart w:id="9" w:name="_Toc2222"/>
      <w:bookmarkStart w:id="10" w:name="heading_5"/>
      <w:r>
        <w:rPr>
          <w:rFonts w:ascii="仿宋" w:hAnsi="仿宋" w:eastAsia="仿宋" w:cs="仿宋"/>
          <w:b/>
          <w:sz w:val="40"/>
          <w:szCs w:val="40"/>
          <w:shd w:val="clear" w:color="auto" w:fill="auto"/>
        </w:rPr>
        <w:t>三、产品设计与商业模式</w:t>
      </w:r>
      <w:bookmarkEnd w:id="9"/>
      <w:bookmarkEnd w:id="10"/>
    </w:p>
    <w:p w14:paraId="1592BA96">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本项目的AI自助学习舱产品将覆盖校园多个学习场景，在空间形态、功能模块、服务内容等方面与传统学习空间有本质区别。在空间形态上，可灵活搭建单人专注舱、双人协作舱、多人研讨舱等不同类型，适配多样化学习需求。</w:t>
      </w:r>
    </w:p>
    <w:p w14:paraId="1D3617DA">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本项目全年均可提供搭建、运营和服务，无明显的季节或时段限制，可根据学生的预约需求灵活调整舱体的开放时间和功能配置。同时，团队将结合不同学期的学习特点（如期中期末备考、考研冲刺、学科竞赛备战等），推出针对性的专项服务模块，匹配学生阶段性学习需求。</w:t>
      </w:r>
    </w:p>
    <w:p w14:paraId="17501ABD">
      <w:pPr>
        <w:spacing w:before="380" w:after="140" w:line="288" w:lineRule="auto"/>
        <w:ind w:left="0"/>
        <w:jc w:val="center"/>
        <w:outlineLvl w:val="0"/>
        <w:rPr>
          <w:rFonts w:ascii="仿宋" w:hAnsi="仿宋" w:eastAsia="仿宋" w:cs="仿宋"/>
          <w:sz w:val="40"/>
          <w:szCs w:val="40"/>
          <w:shd w:val="clear" w:color="auto" w:fill="auto"/>
        </w:rPr>
      </w:pPr>
      <w:bookmarkStart w:id="11" w:name="heading_6"/>
      <w:bookmarkStart w:id="12" w:name="_Toc20221"/>
      <w:r>
        <w:rPr>
          <w:rFonts w:ascii="仿宋" w:hAnsi="仿宋" w:eastAsia="仿宋" w:cs="仿宋"/>
          <w:b/>
          <w:sz w:val="40"/>
          <w:szCs w:val="40"/>
          <w:shd w:val="clear" w:color="auto" w:fill="auto"/>
        </w:rPr>
        <w:t>四、发展战略与行动计划</w:t>
      </w:r>
      <w:bookmarkEnd w:id="11"/>
      <w:bookmarkEnd w:id="12"/>
    </w:p>
    <w:p w14:paraId="70BCA1E5">
      <w:pPr>
        <w:keepNext w:val="0"/>
        <w:keepLines w:val="0"/>
        <w:pageBreakBefore w:val="0"/>
        <w:widowControl w:val="0"/>
        <w:numPr>
          <w:ilvl w:val="0"/>
          <w:numId w:val="5"/>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试营期（1-3年）</w:t>
      </w:r>
    </w:p>
    <w:p w14:paraId="72BAC574">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通过校园官网、新媒体平台、线下宣讲等渠道，大力推广AI自助学习舱项目，打开高校智慧学习空间市场，提升项目在校园服务领域的知名度和口碑，打造专属品牌，形成差异化服务特色。逐步拓展学习舱的服务模块，新增考研专项舱、竞赛协作舱等定制化类型，并持续优化AI资源匹配算法。</w:t>
      </w:r>
    </w:p>
    <w:p w14:paraId="60EFD295">
      <w:pPr>
        <w:keepNext w:val="0"/>
        <w:keepLines w:val="0"/>
        <w:pageBreakBefore w:val="0"/>
        <w:widowControl w:val="0"/>
        <w:numPr>
          <w:ilvl w:val="0"/>
          <w:numId w:val="6"/>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成长期（4-6年）</w:t>
      </w:r>
    </w:p>
    <w:p w14:paraId="4783E9AF">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在项目稳定运营的基础上，调整发展战略。总结前3年的运营经验，优化组织管理体系，招募更多教育技术、AI算法、运营管理领域的专业人才，扩大项目规模，升级AI系统的算力和数据处理能力，提升服务的精准度和稳定性。</w:t>
      </w:r>
    </w:p>
    <w:p w14:paraId="477BCFFA">
      <w:pPr>
        <w:keepNext w:val="0"/>
        <w:keepLines w:val="0"/>
        <w:pageBreakBefore w:val="0"/>
        <w:widowControl w:val="0"/>
        <w:numPr>
          <w:ilvl w:val="0"/>
          <w:numId w:val="7"/>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成熟期（7-10年）</w:t>
      </w:r>
    </w:p>
    <w:p w14:paraId="71036D52">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扩大AI自助学习舱的覆盖范围，向周边高校及不同地区院校拓展。分析不同院校的学科特点和学生学习需求，制定针对性的落地方案，建立区域化服务体系，投放适配不同院校特色的学习舱产品，提高项目的整体渗透率和服务转化率。</w:t>
      </w:r>
    </w:p>
    <w:p w14:paraId="2989344E">
      <w:pPr>
        <w:keepNext w:val="0"/>
        <w:keepLines w:val="0"/>
        <w:pageBreakBefore w:val="0"/>
        <w:widowControl w:val="0"/>
        <w:numPr>
          <w:ilvl w:val="0"/>
          <w:numId w:val="8"/>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具体市场拓展计划</w:t>
      </w:r>
    </w:p>
    <w:p w14:paraId="4BB4EB23">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(1) 第一期市场：本校及周边高校的校内学习区、创新创业孵化园。</w:t>
      </w:r>
    </w:p>
    <w:p w14:paraId="714BB115">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(2) 第二期市场：区域性高校智慧学习空间服务平台的搭建与完善。</w:t>
      </w:r>
    </w:p>
    <w:p w14:paraId="190FCDB1">
      <w:pPr>
        <w:spacing w:before="380" w:after="140" w:line="288" w:lineRule="auto"/>
        <w:ind w:left="0"/>
        <w:jc w:val="center"/>
        <w:outlineLvl w:val="0"/>
        <w:rPr>
          <w:rFonts w:ascii="仿宋" w:hAnsi="仿宋" w:eastAsia="仿宋" w:cs="仿宋"/>
          <w:sz w:val="40"/>
          <w:szCs w:val="40"/>
          <w:shd w:val="clear" w:color="auto" w:fill="auto"/>
        </w:rPr>
      </w:pPr>
      <w:bookmarkStart w:id="13" w:name="heading_7"/>
      <w:bookmarkStart w:id="14" w:name="_Toc21845"/>
      <w:r>
        <w:rPr>
          <w:rFonts w:ascii="仿宋" w:hAnsi="仿宋" w:eastAsia="仿宋" w:cs="仿宋"/>
          <w:b/>
          <w:sz w:val="40"/>
          <w:szCs w:val="40"/>
          <w:shd w:val="clear" w:color="auto" w:fill="auto"/>
        </w:rPr>
        <w:t>五、竞争分析与营销策略</w:t>
      </w:r>
      <w:bookmarkEnd w:id="13"/>
      <w:bookmarkEnd w:id="14"/>
    </w:p>
    <w:p w14:paraId="00139359">
      <w:pPr>
        <w:keepNext w:val="0"/>
        <w:keepLines w:val="0"/>
        <w:pageBreakBefore w:val="0"/>
        <w:widowControl w:val="0"/>
        <w:numPr>
          <w:ilvl w:val="0"/>
          <w:numId w:val="9"/>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竞争分析</w:t>
      </w:r>
    </w:p>
    <w:p w14:paraId="6406AAEC">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AI技术在校园学习空间领域的应用尚处于起步阶段，相较于传统的校园自习室、校外付费自习室等业态，AI自助学习舱具备智能化、个性化、一体化的创新优势。项目将结合高校的实际学习服务需求，持续优化产品功能和服务模式，不断进行技术迭代和服务创新，巩固差异化竞争壁垒。</w:t>
      </w:r>
    </w:p>
    <w:p w14:paraId="420EBC5F">
      <w:pPr>
        <w:keepNext w:val="0"/>
        <w:keepLines w:val="0"/>
        <w:pageBreakBefore w:val="0"/>
        <w:widowControl w:val="0"/>
        <w:numPr>
          <w:ilvl w:val="0"/>
          <w:numId w:val="10"/>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营销策略</w:t>
      </w:r>
    </w:p>
    <w:p w14:paraId="45CB6B99">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本项目的营销策略以服务质量为核心、以产品功能为依托，先立足本校市场，逐步开拓周边城市高校市场，通过“单点突破、全面辐射”的方式推进市场拓展，扩大市场份额。同时细分不同学生群体（本科生、研究生、备考族等）的需求特点，通过功能模块化、服务定制化推动产品推广。营销模式采用自主运营与校园代理合作相结合的方式，协同推进。</w:t>
      </w:r>
    </w:p>
    <w:p w14:paraId="27A8D58E">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此外，项目将在试点院校建立AI学习舱体验区、智慧学习成果展示区和个性化服务咨询区，直观展现产品优势，加深师生对品牌的认知和认可。</w:t>
      </w:r>
    </w:p>
    <w:p w14:paraId="75DBC52C">
      <w:pPr>
        <w:spacing w:before="380" w:after="140" w:line="288" w:lineRule="auto"/>
        <w:ind w:left="0"/>
        <w:jc w:val="center"/>
        <w:outlineLvl w:val="0"/>
        <w:rPr>
          <w:rFonts w:ascii="仿宋" w:hAnsi="仿宋" w:eastAsia="仿宋" w:cs="仿宋"/>
          <w:sz w:val="40"/>
          <w:szCs w:val="40"/>
          <w:shd w:val="clear" w:color="auto" w:fill="auto"/>
        </w:rPr>
      </w:pPr>
      <w:bookmarkStart w:id="15" w:name="heading_8"/>
      <w:bookmarkStart w:id="16" w:name="_Toc10032"/>
      <w:r>
        <w:rPr>
          <w:rFonts w:ascii="仿宋" w:hAnsi="仿宋" w:eastAsia="仿宋" w:cs="仿宋"/>
          <w:b/>
          <w:sz w:val="40"/>
          <w:szCs w:val="40"/>
          <w:shd w:val="clear" w:color="auto" w:fill="auto"/>
        </w:rPr>
        <w:t>六、研发、生产、经营安排</w:t>
      </w:r>
      <w:bookmarkEnd w:id="15"/>
      <w:bookmarkEnd w:id="16"/>
    </w:p>
    <w:p w14:paraId="715418B2">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目前本项目在研发和生产环节存在以下核心问题：</w:t>
      </w:r>
    </w:p>
    <w:p w14:paraId="4AED6E94">
      <w:pPr>
        <w:keepNext w:val="0"/>
        <w:keepLines w:val="0"/>
        <w:pageBreakBefore w:val="0"/>
        <w:widowControl w:val="0"/>
        <w:numPr>
          <w:ilvl w:val="0"/>
          <w:numId w:val="11"/>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核心技术方面的问题</w:t>
      </w:r>
    </w:p>
    <w:p w14:paraId="3274D611">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传统的学习空间仅具备基础的场地功能，缺乏智能化的学情分析和资源匹配能力，现有的校园管理系统数据接口不统一，难以实现学习数据的高效对接和整合。因此，需要研发适配高校数据标准的AI对接模块，既要实现与校园教务系统、学工系统的数据互通，又要保障学生隐私数据的安全，同时满足不同学习场景的功能适配需求。</w:t>
      </w:r>
    </w:p>
    <w:p w14:paraId="335A0E26">
      <w:pPr>
        <w:keepNext w:val="0"/>
        <w:keepLines w:val="0"/>
        <w:pageBreakBefore w:val="0"/>
        <w:widowControl w:val="0"/>
        <w:numPr>
          <w:ilvl w:val="0"/>
          <w:numId w:val="12"/>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硬件设备方面的问题</w:t>
      </w:r>
    </w:p>
    <w:p w14:paraId="44ED97D6">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学习舱的硬件设备需适配校园的场地条件和使用需求，要具备小型化、模块化、低功耗的特点，同时保障舱内的隔音效果、智能调控精度和设备稳定性。需要定制专用的舱体硬件和智能控制终端，研发舱内设备的联动控制技术和故障自检系统，还需配套搭建AI学习资源库、学情分析数据库、设备运维管理系统等技术平台。</w:t>
      </w:r>
    </w:p>
    <w:p w14:paraId="006C98F5">
      <w:pPr>
        <w:keepNext w:val="0"/>
        <w:keepLines w:val="0"/>
        <w:pageBreakBefore w:val="0"/>
        <w:widowControl w:val="0"/>
        <w:numPr>
          <w:ilvl w:val="0"/>
          <w:numId w:val="13"/>
        </w:numPr>
        <w:kinsoku/>
        <w:wordWrap/>
        <w:overflowPunct/>
        <w:topLinePunct w:val="0"/>
        <w:autoSpaceDE/>
        <w:autoSpaceDN/>
        <w:bidi w:val="0"/>
        <w:adjustRightInd/>
        <w:snapToGri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成本控制方面的问题</w:t>
      </w:r>
    </w:p>
    <w:p w14:paraId="6B2EC49B">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AI自助学习舱的前期研发和硬件采购成本较高，且校园场景的定制化改造会增加额外支出，目前相关设备和技术尚未实现大规模普及，单位成本难以快速降低。</w:t>
      </w:r>
    </w:p>
    <w:p w14:paraId="4AD13D92">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因此，研发和生产的核心任务是突破上述技术和成本瓶颈，实现产品的标准化、低成本化和高效化落地。</w:t>
      </w:r>
    </w:p>
    <w:p w14:paraId="500BEC69">
      <w:pPr>
        <w:spacing w:before="380" w:after="140" w:line="288" w:lineRule="auto"/>
        <w:ind w:left="0"/>
        <w:jc w:val="center"/>
        <w:outlineLvl w:val="0"/>
        <w:rPr>
          <w:rFonts w:ascii="仿宋" w:hAnsi="仿宋" w:eastAsia="仿宋" w:cs="仿宋"/>
          <w:sz w:val="40"/>
          <w:szCs w:val="40"/>
          <w:shd w:val="clear" w:color="auto" w:fill="auto"/>
        </w:rPr>
      </w:pPr>
      <w:bookmarkStart w:id="17" w:name="_Toc28904"/>
      <w:bookmarkStart w:id="18" w:name="heading_9"/>
      <w:r>
        <w:rPr>
          <w:rFonts w:ascii="仿宋" w:hAnsi="仿宋" w:eastAsia="仿宋" w:cs="仿宋"/>
          <w:b/>
          <w:sz w:val="40"/>
          <w:szCs w:val="40"/>
          <w:shd w:val="clear" w:color="auto" w:fill="auto"/>
        </w:rPr>
        <w:t>七、团队与组织结构</w:t>
      </w:r>
      <w:bookmarkEnd w:id="17"/>
      <w:bookmarkEnd w:id="18"/>
    </w:p>
    <w:p w14:paraId="28CE979F">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本项目团队将按照扁平化管理架构，建立统一指挥、层级清晰的组织体系，强化部门协同，确保项目高效推进。</w:t>
      </w:r>
    </w:p>
    <w:p w14:paraId="3F33A269">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团队以</w:t>
      </w:r>
      <w:r>
        <w:rPr>
          <w:rFonts w:ascii="仿宋" w:hAnsi="仿宋" w:eastAsia="仿宋" w:cs="仿宋"/>
          <w:b/>
          <w:sz w:val="32"/>
        </w:rPr>
        <w:t>项目负责人——技术研发组——运营推广组</w:t>
      </w:r>
      <w:r>
        <w:rPr>
          <w:rFonts w:ascii="仿宋" w:hAnsi="仿宋" w:eastAsia="仿宋" w:cs="仿宋"/>
          <w:sz w:val="32"/>
        </w:rPr>
        <w:t>为核心，以综合协调组为纽带，借助智能管理系统提升工作效率和信息透明度，形成稳定的三角支撑架构。管理层次仅设两层，保障团队的凝聚力和执行力。项目初期为集中权限、精简架构，由项目负责人兼任运营推广组组长。</w:t>
      </w:r>
    </w:p>
    <w:p w14:paraId="4125CF44">
      <w:pPr>
        <w:spacing w:before="380" w:after="140" w:line="288" w:lineRule="auto"/>
        <w:ind w:left="0"/>
        <w:jc w:val="center"/>
        <w:outlineLvl w:val="0"/>
        <w:rPr>
          <w:rFonts w:ascii="仿宋" w:hAnsi="仿宋" w:eastAsia="仿宋" w:cs="仿宋"/>
          <w:sz w:val="40"/>
          <w:szCs w:val="40"/>
          <w:shd w:val="clear" w:color="auto" w:fill="auto"/>
        </w:rPr>
      </w:pPr>
      <w:bookmarkStart w:id="19" w:name="heading_10"/>
      <w:bookmarkStart w:id="20" w:name="_Toc19481"/>
      <w:r>
        <w:rPr>
          <w:rFonts w:ascii="仿宋" w:hAnsi="仿宋" w:eastAsia="仿宋" w:cs="仿宋"/>
          <w:b/>
          <w:sz w:val="40"/>
          <w:szCs w:val="40"/>
          <w:shd w:val="clear" w:color="auto" w:fill="auto"/>
        </w:rPr>
        <w:t>八、资金规划与财务需求</w:t>
      </w:r>
      <w:bookmarkEnd w:id="19"/>
      <w:bookmarkEnd w:id="20"/>
    </w:p>
    <w:p w14:paraId="0E4D4A8F">
      <w:pPr>
        <w:keepLines w:val="0"/>
        <w:pageBreakBefore w:val="0"/>
        <w:widowControl w:val="0"/>
        <w:kinsoku/>
        <w:wordWrap/>
        <w:overflowPunct/>
        <w:topLinePunct w:val="0"/>
        <w:autoSpaceDE/>
        <w:autoSpaceDN/>
        <w:bidi w:val="0"/>
        <w:adjustRightInd/>
        <w:spacing w:before="320" w:after="120" w:line="288" w:lineRule="auto"/>
        <w:ind w:left="0" w:firstLine="643" w:firstLineChars="200"/>
        <w:jc w:val="left"/>
        <w:textAlignment w:val="auto"/>
        <w:outlineLvl w:val="1"/>
        <w:rPr>
          <w:rFonts w:ascii="仿宋" w:hAnsi="仿宋" w:eastAsia="仿宋" w:cs="仿宋"/>
          <w:sz w:val="32"/>
        </w:rPr>
      </w:pPr>
      <w:bookmarkStart w:id="21" w:name="heading_11"/>
      <w:bookmarkStart w:id="22" w:name="_Toc28394"/>
      <w:r>
        <w:rPr>
          <w:rFonts w:ascii="仿宋" w:hAnsi="仿宋" w:eastAsia="仿宋" w:cs="仿宋"/>
          <w:b/>
          <w:sz w:val="32"/>
        </w:rPr>
        <w:t>（一）资本结构</w:t>
      </w:r>
      <w:bookmarkEnd w:id="21"/>
      <w:bookmarkEnd w:id="22"/>
    </w:p>
    <w:p w14:paraId="7BEDF665">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假定项目团队2025年组建项目公司，设立时注册资本200万元，公司资本来源于团队自筹和高校创新创业扶持基金、风险投资，具体构成如下表：</w:t>
      </w:r>
    </w:p>
    <w:tbl>
      <w:tblPr>
        <w:tblStyle w:val="8"/>
        <w:tblW w:w="8522" w:type="dxa"/>
        <w:jc w:val="center"/>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autofit"/>
        <w:tblCellMar>
          <w:top w:w="0" w:type="dxa"/>
          <w:left w:w="10" w:type="dxa"/>
          <w:bottom w:w="0" w:type="dxa"/>
          <w:right w:w="10" w:type="dxa"/>
        </w:tblCellMar>
      </w:tblPr>
      <w:tblGrid>
        <w:gridCol w:w="4027"/>
        <w:gridCol w:w="2529"/>
        <w:gridCol w:w="1966"/>
      </w:tblGrid>
      <w:tr w14:paraId="5FE7A064">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tblHeader/>
          <w:jc w:val="center"/>
        </w:trPr>
        <w:tc>
          <w:tcPr>
            <w:tcW w:w="4027" w:type="dxa"/>
            <w:tcBorders>
              <w:top w:val="single" w:color="000000" w:sz="12" w:space="0"/>
              <w:left w:val="single" w:color="000000" w:sz="12" w:space="0"/>
              <w:bottom w:val="single" w:color="000000" w:sz="4" w:space="0"/>
              <w:right w:val="single" w:color="000000" w:sz="4" w:space="0"/>
              <w:tl2br w:val="nil"/>
            </w:tcBorders>
            <w:shd w:val="clear" w:color="auto" w:fill="FFFFFF"/>
            <w:tcMar>
              <w:top w:w="60" w:type="dxa"/>
              <w:left w:w="120" w:type="dxa"/>
              <w:bottom w:w="30" w:type="dxa"/>
              <w:right w:w="120" w:type="dxa"/>
            </w:tcMar>
            <w:vAlign w:val="center"/>
          </w:tcPr>
          <w:p w14:paraId="181603EA">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i w:val="0"/>
                <w:color w:val="000000"/>
                <w:sz w:val="32"/>
              </w:rPr>
            </w:pPr>
            <w:r>
              <w:rPr>
                <w:rFonts w:ascii="仿宋" w:hAnsi="仿宋" w:eastAsia="仿宋" w:cs="仿宋"/>
                <w:b/>
                <w:i w:val="0"/>
                <w:color w:val="000000"/>
                <w:sz w:val="32"/>
              </w:rPr>
              <w:t>资本来源</w:t>
            </w:r>
          </w:p>
        </w:tc>
        <w:tc>
          <w:tcPr>
            <w:tcW w:w="2529" w:type="dxa"/>
            <w:tcBorders>
              <w:top w:val="single" w:color="000000" w:sz="12"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626CD48">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i w:val="0"/>
                <w:color w:val="000000"/>
                <w:sz w:val="32"/>
              </w:rPr>
            </w:pPr>
            <w:r>
              <w:rPr>
                <w:rFonts w:ascii="仿宋" w:hAnsi="仿宋" w:eastAsia="仿宋" w:cs="仿宋"/>
                <w:b/>
                <w:i w:val="0"/>
                <w:color w:val="000000"/>
                <w:sz w:val="32"/>
              </w:rPr>
              <w:t>金额（万元）</w:t>
            </w:r>
          </w:p>
        </w:tc>
        <w:tc>
          <w:tcPr>
            <w:tcW w:w="1966" w:type="dxa"/>
            <w:tcBorders>
              <w:top w:val="single" w:color="000000" w:sz="12"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12683FEA">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i w:val="0"/>
                <w:color w:val="000000"/>
                <w:sz w:val="32"/>
              </w:rPr>
            </w:pPr>
            <w:r>
              <w:rPr>
                <w:rFonts w:ascii="仿宋" w:hAnsi="仿宋" w:eastAsia="仿宋" w:cs="仿宋"/>
                <w:b/>
                <w:i w:val="0"/>
                <w:color w:val="000000"/>
                <w:sz w:val="32"/>
              </w:rPr>
              <w:t>比例（%）</w:t>
            </w:r>
          </w:p>
        </w:tc>
      </w:tr>
      <w:tr w14:paraId="16C24BE5">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4027" w:type="dxa"/>
            <w:tcBorders>
              <w:top w:val="single" w:color="000000" w:sz="4" w:space="0"/>
              <w:left w:val="single" w:color="000000" w:sz="12"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64051DEE">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团队自筹</w:t>
            </w:r>
          </w:p>
        </w:tc>
        <w:tc>
          <w:tcPr>
            <w:tcW w:w="252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72D1C625">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80</w:t>
            </w:r>
          </w:p>
        </w:tc>
        <w:tc>
          <w:tcPr>
            <w:tcW w:w="1966" w:type="dxa"/>
            <w:tcBorders>
              <w:top w:val="single" w:color="000000" w:sz="4"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6A68F2DA">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val="0"/>
                <w:i w:val="0"/>
                <w:color w:val="000000"/>
                <w:sz w:val="32"/>
              </w:rPr>
            </w:pPr>
            <w:r>
              <w:rPr>
                <w:rFonts w:ascii="仿宋" w:hAnsi="仿宋" w:eastAsia="仿宋" w:cs="仿宋"/>
                <w:b w:val="0"/>
                <w:i w:val="0"/>
                <w:color w:val="000000"/>
                <w:sz w:val="32"/>
              </w:rPr>
              <w:t>40</w:t>
            </w:r>
          </w:p>
        </w:tc>
      </w:tr>
      <w:tr w14:paraId="3B95C1C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4027" w:type="dxa"/>
            <w:tcBorders>
              <w:top w:val="single" w:color="000000" w:sz="4" w:space="0"/>
              <w:left w:val="single" w:color="000000" w:sz="12"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8547485">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高校创新创业扶持基金</w:t>
            </w:r>
          </w:p>
        </w:tc>
        <w:tc>
          <w:tcPr>
            <w:tcW w:w="2529"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6A07FAA4">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40</w:t>
            </w:r>
          </w:p>
        </w:tc>
        <w:tc>
          <w:tcPr>
            <w:tcW w:w="1966" w:type="dxa"/>
            <w:tcBorders>
              <w:top w:val="single" w:color="000000" w:sz="4"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2E81F744">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val="0"/>
                <w:i w:val="0"/>
                <w:color w:val="000000"/>
                <w:sz w:val="32"/>
              </w:rPr>
            </w:pPr>
            <w:r>
              <w:rPr>
                <w:rFonts w:ascii="仿宋" w:hAnsi="仿宋" w:eastAsia="仿宋" w:cs="仿宋"/>
                <w:b w:val="0"/>
                <w:i w:val="0"/>
                <w:color w:val="000000"/>
                <w:sz w:val="32"/>
              </w:rPr>
              <w:t>20</w:t>
            </w:r>
          </w:p>
        </w:tc>
      </w:tr>
      <w:tr w14:paraId="3FBBA4A3">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4027" w:type="dxa"/>
            <w:tcBorders>
              <w:top w:val="single" w:color="000000" w:sz="4" w:space="0"/>
              <w:left w:val="single" w:color="000000" w:sz="12" w:space="0"/>
              <w:bottom w:val="single" w:color="000000" w:sz="12" w:space="0"/>
              <w:right w:val="single" w:color="000000" w:sz="4" w:space="0"/>
            </w:tcBorders>
            <w:shd w:val="clear" w:color="auto" w:fill="FFFFFF"/>
            <w:tcMar>
              <w:top w:w="60" w:type="dxa"/>
              <w:left w:w="120" w:type="dxa"/>
              <w:bottom w:w="30" w:type="dxa"/>
              <w:right w:w="120" w:type="dxa"/>
            </w:tcMar>
            <w:vAlign w:val="center"/>
          </w:tcPr>
          <w:p w14:paraId="6BBEE419">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风险投资</w:t>
            </w:r>
          </w:p>
        </w:tc>
        <w:tc>
          <w:tcPr>
            <w:tcW w:w="2529" w:type="dxa"/>
            <w:tcBorders>
              <w:top w:val="single" w:color="000000" w:sz="4" w:space="0"/>
              <w:left w:val="single" w:color="000000" w:sz="4" w:space="0"/>
              <w:bottom w:val="single" w:color="000000" w:sz="12" w:space="0"/>
              <w:right w:val="single" w:color="000000" w:sz="4" w:space="0"/>
            </w:tcBorders>
            <w:shd w:val="clear" w:color="auto" w:fill="FFFFFF"/>
            <w:tcMar>
              <w:top w:w="60" w:type="dxa"/>
              <w:left w:w="120" w:type="dxa"/>
              <w:bottom w:w="30" w:type="dxa"/>
              <w:right w:w="120" w:type="dxa"/>
            </w:tcMar>
            <w:vAlign w:val="center"/>
          </w:tcPr>
          <w:p w14:paraId="60258A5D">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80</w:t>
            </w:r>
          </w:p>
        </w:tc>
        <w:tc>
          <w:tcPr>
            <w:tcW w:w="1966" w:type="dxa"/>
            <w:tcBorders>
              <w:top w:val="single" w:color="000000" w:sz="4" w:space="0"/>
              <w:left w:val="single" w:color="000000" w:sz="4" w:space="0"/>
              <w:bottom w:val="single" w:color="000000" w:sz="12" w:space="0"/>
              <w:right w:val="single" w:color="000000" w:sz="12" w:space="0"/>
            </w:tcBorders>
            <w:shd w:val="clear" w:color="auto" w:fill="FFFFFF"/>
            <w:tcMar>
              <w:top w:w="60" w:type="dxa"/>
              <w:left w:w="120" w:type="dxa"/>
              <w:bottom w:w="30" w:type="dxa"/>
              <w:right w:w="120" w:type="dxa"/>
            </w:tcMar>
            <w:vAlign w:val="center"/>
          </w:tcPr>
          <w:p w14:paraId="242AC713">
            <w:pPr>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val="0"/>
                <w:i w:val="0"/>
                <w:color w:val="000000"/>
                <w:sz w:val="32"/>
              </w:rPr>
            </w:pPr>
            <w:r>
              <w:rPr>
                <w:rFonts w:ascii="仿宋" w:hAnsi="仿宋" w:eastAsia="仿宋" w:cs="仿宋"/>
                <w:b w:val="0"/>
                <w:i w:val="0"/>
                <w:color w:val="000000"/>
                <w:sz w:val="32"/>
              </w:rPr>
              <w:t>40</w:t>
            </w:r>
          </w:p>
        </w:tc>
      </w:tr>
    </w:tbl>
    <w:p w14:paraId="64060D1F">
      <w:pPr>
        <w:keepLines w:val="0"/>
        <w:pageBreakBefore w:val="0"/>
        <w:widowControl w:val="0"/>
        <w:kinsoku/>
        <w:wordWrap/>
        <w:overflowPunct/>
        <w:topLinePunct w:val="0"/>
        <w:autoSpaceDE/>
        <w:autoSpaceDN/>
        <w:bidi w:val="0"/>
        <w:adjustRightInd/>
        <w:spacing w:before="320" w:after="120" w:line="288" w:lineRule="auto"/>
        <w:ind w:left="0" w:firstLine="643" w:firstLineChars="200"/>
        <w:jc w:val="left"/>
        <w:textAlignment w:val="auto"/>
        <w:outlineLvl w:val="1"/>
        <w:rPr>
          <w:rFonts w:ascii="仿宋" w:hAnsi="仿宋" w:eastAsia="仿宋" w:cs="仿宋"/>
          <w:sz w:val="32"/>
        </w:rPr>
      </w:pPr>
      <w:bookmarkStart w:id="23" w:name="heading_12"/>
      <w:bookmarkStart w:id="24" w:name="_Toc4340"/>
      <w:r>
        <w:rPr>
          <w:rFonts w:ascii="仿宋" w:hAnsi="仿宋" w:eastAsia="仿宋" w:cs="仿宋"/>
          <w:b/>
          <w:sz w:val="32"/>
        </w:rPr>
        <w:t>（二）融资方案</w:t>
      </w:r>
      <w:bookmarkEnd w:id="23"/>
      <w:bookmarkEnd w:id="24"/>
    </w:p>
    <w:p w14:paraId="0F1BF2BD">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为保障项目顺利推进，本项目将通过以下渠道筹措资金：</w:t>
      </w:r>
    </w:p>
    <w:p w14:paraId="262F2162">
      <w:pPr>
        <w:keepLines w:val="0"/>
        <w:pageBreakBefore w:val="0"/>
        <w:widowControl w:val="0"/>
        <w:numPr>
          <w:ilvl w:val="0"/>
          <w:numId w:val="14"/>
        </w:numPr>
        <w:kinsoku/>
        <w:wordWrap/>
        <w:overflowPunct/>
        <w:topLinePunct w:val="0"/>
        <w:autoSpaceDE/>
        <w:autoSpaceDN/>
        <w:bidi w:val="0"/>
        <w:adjustRightIn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风险投资</w:t>
      </w:r>
    </w:p>
    <w:p w14:paraId="21C0EF47">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项目资金的40%计划来源于风险投资。AI智慧校园是教育科技领域的热门赛道，本项目的产品具备明确的校园应用场景和盈利潜力，预计可获得80万元风险投资，主要用于核心技术研发和首批硬件采购。</w:t>
      </w:r>
    </w:p>
    <w:p w14:paraId="2B2D2AD0">
      <w:pPr>
        <w:keepLines w:val="0"/>
        <w:pageBreakBefore w:val="0"/>
        <w:widowControl w:val="0"/>
        <w:numPr>
          <w:ilvl w:val="0"/>
          <w:numId w:val="15"/>
        </w:numPr>
        <w:kinsoku/>
        <w:wordWrap/>
        <w:overflowPunct/>
        <w:topLinePunct w:val="0"/>
        <w:autoSpaceDE/>
        <w:autoSpaceDN/>
        <w:bidi w:val="0"/>
        <w:adjustRightIn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团队自筹</w:t>
      </w:r>
    </w:p>
    <w:p w14:paraId="2CCB33C7">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考虑到项目初期投入规模可控，团队将通过合伙制方式集资80万元，主要用于前期市场调研、产品原型搭建和试点场地对接，项目盈利后按出资比例进行利润分配。</w:t>
      </w:r>
    </w:p>
    <w:p w14:paraId="62ED4BCF">
      <w:pPr>
        <w:keepLines w:val="0"/>
        <w:pageBreakBefore w:val="0"/>
        <w:widowControl w:val="0"/>
        <w:numPr>
          <w:ilvl w:val="0"/>
          <w:numId w:val="16"/>
        </w:numPr>
        <w:kinsoku/>
        <w:wordWrap/>
        <w:overflowPunct/>
        <w:topLinePunct w:val="0"/>
        <w:autoSpaceDE/>
        <w:autoSpaceDN/>
        <w:bidi w:val="0"/>
        <w:adjustRightIn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高校创新创业扶持基金</w:t>
      </w:r>
    </w:p>
    <w:p w14:paraId="07DD0F7B">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积极申报高校创新创业专项扶持基金，预计可申请40万元资金，用于校园场景适配改造和产品试点推广，该资金为政策性扶持资金，无需支付利息。</w:t>
      </w:r>
    </w:p>
    <w:p w14:paraId="4BD84F83">
      <w:pPr>
        <w:keepLines w:val="0"/>
        <w:pageBreakBefore w:val="0"/>
        <w:widowControl w:val="0"/>
        <w:kinsoku/>
        <w:wordWrap/>
        <w:overflowPunct/>
        <w:topLinePunct w:val="0"/>
        <w:autoSpaceDE/>
        <w:autoSpaceDN/>
        <w:bidi w:val="0"/>
        <w:adjustRightInd/>
        <w:spacing w:before="320" w:after="120" w:line="288" w:lineRule="auto"/>
        <w:ind w:left="0" w:firstLine="643" w:firstLineChars="200"/>
        <w:jc w:val="left"/>
        <w:textAlignment w:val="auto"/>
        <w:outlineLvl w:val="1"/>
        <w:rPr>
          <w:rFonts w:ascii="仿宋" w:hAnsi="仿宋" w:eastAsia="仿宋" w:cs="仿宋"/>
          <w:sz w:val="32"/>
        </w:rPr>
      </w:pPr>
      <w:bookmarkStart w:id="25" w:name="_Toc21582"/>
      <w:bookmarkStart w:id="26" w:name="heading_13"/>
      <w:r>
        <w:rPr>
          <w:rFonts w:ascii="仿宋" w:hAnsi="仿宋" w:eastAsia="仿宋" w:cs="仿宋"/>
          <w:b/>
          <w:sz w:val="32"/>
        </w:rPr>
        <w:t>（三）资金运营计划</w:t>
      </w:r>
      <w:bookmarkEnd w:id="25"/>
      <w:bookmarkEnd w:id="26"/>
    </w:p>
    <w:p w14:paraId="2AD666C4">
      <w:pPr>
        <w:keepLines w:val="0"/>
        <w:pageBreakBefore w:val="0"/>
        <w:widowControl w:val="0"/>
        <w:numPr>
          <w:ilvl w:val="0"/>
          <w:numId w:val="17"/>
        </w:numPr>
        <w:kinsoku/>
        <w:wordWrap/>
        <w:overflowPunct/>
        <w:topLinePunct w:val="0"/>
        <w:autoSpaceDE/>
        <w:autoSpaceDN/>
        <w:bidi w:val="0"/>
        <w:adjustRightIn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资金支出计划</w:t>
      </w:r>
    </w:p>
    <w:p w14:paraId="65AFCB2C">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基于项目发展规划和长期目标，制定设立初期及营业期的资金支出方案，编制依据如下：</w:t>
      </w:r>
    </w:p>
    <w:p w14:paraId="6F8F097D">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(1) 团队成员薪资每年递增20%（含人员扩招15%、在职人员薪资涨幅5%）；</w:t>
      </w:r>
    </w:p>
    <w:p w14:paraId="211E42D6">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(2) 市场推广费用每年递增25%；</w:t>
      </w:r>
    </w:p>
    <w:p w14:paraId="3DD2D74A">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(3) 学习舱硬件采购及场地改造费用每年递增30%；</w:t>
      </w:r>
    </w:p>
    <w:p w14:paraId="3756B743">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(4) 运维、办公、数据服务等管理费用每年递增15%。</w:t>
      </w:r>
    </w:p>
    <w:p w14:paraId="26542E58">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具体资金支出方案如下表：</w:t>
      </w:r>
    </w:p>
    <w:tbl>
      <w:tblPr>
        <w:tblStyle w:val="8"/>
        <w:tblW w:w="8521" w:type="dxa"/>
        <w:jc w:val="center"/>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autofit"/>
        <w:tblCellMar>
          <w:top w:w="0" w:type="dxa"/>
          <w:left w:w="10" w:type="dxa"/>
          <w:bottom w:w="0" w:type="dxa"/>
          <w:right w:w="10" w:type="dxa"/>
        </w:tblCellMar>
      </w:tblPr>
      <w:tblGrid>
        <w:gridCol w:w="2022"/>
        <w:gridCol w:w="1610"/>
        <w:gridCol w:w="4889"/>
      </w:tblGrid>
      <w:tr w14:paraId="124056DB">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tblHeader/>
          <w:jc w:val="center"/>
        </w:trPr>
        <w:tc>
          <w:tcPr>
            <w:tcW w:w="2022" w:type="dxa"/>
            <w:tcBorders>
              <w:top w:val="single" w:color="000000" w:sz="12" w:space="0"/>
              <w:left w:val="single" w:color="000000" w:sz="12" w:space="0"/>
              <w:bottom w:val="single" w:color="000000" w:sz="4" w:space="0"/>
              <w:right w:val="single" w:color="000000" w:sz="4" w:space="0"/>
              <w:tl2br w:val="nil"/>
            </w:tcBorders>
            <w:shd w:val="clear" w:color="auto" w:fill="FFFFFF"/>
            <w:tcMar>
              <w:top w:w="60" w:type="dxa"/>
              <w:left w:w="120" w:type="dxa"/>
              <w:bottom w:w="30" w:type="dxa"/>
              <w:right w:w="120" w:type="dxa"/>
            </w:tcMar>
            <w:vAlign w:val="center"/>
          </w:tcPr>
          <w:p w14:paraId="0810A996">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i w:val="0"/>
                <w:color w:val="000000"/>
                <w:sz w:val="32"/>
              </w:rPr>
            </w:pPr>
            <w:r>
              <w:rPr>
                <w:rFonts w:ascii="仿宋" w:hAnsi="仿宋" w:eastAsia="仿宋" w:cs="仿宋"/>
                <w:b/>
                <w:i w:val="0"/>
                <w:color w:val="000000"/>
                <w:sz w:val="32"/>
              </w:rPr>
              <w:t>支出项目</w:t>
            </w:r>
          </w:p>
        </w:tc>
        <w:tc>
          <w:tcPr>
            <w:tcW w:w="1610" w:type="dxa"/>
            <w:tcBorders>
              <w:top w:val="single" w:color="000000" w:sz="12"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4D74A65">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i w:val="0"/>
                <w:color w:val="000000"/>
                <w:sz w:val="32"/>
              </w:rPr>
            </w:pPr>
            <w:r>
              <w:rPr>
                <w:rFonts w:ascii="仿宋" w:hAnsi="仿宋" w:eastAsia="仿宋" w:cs="仿宋"/>
                <w:b/>
                <w:i w:val="0"/>
                <w:color w:val="000000"/>
                <w:sz w:val="32"/>
              </w:rPr>
              <w:t>金额</w:t>
            </w:r>
          </w:p>
          <w:p w14:paraId="43D52A77">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i w:val="0"/>
                <w:color w:val="000000"/>
                <w:sz w:val="32"/>
              </w:rPr>
            </w:pPr>
            <w:r>
              <w:rPr>
                <w:rFonts w:ascii="仿宋" w:hAnsi="仿宋" w:eastAsia="仿宋" w:cs="仿宋"/>
                <w:b/>
                <w:i w:val="0"/>
                <w:color w:val="000000"/>
                <w:sz w:val="32"/>
              </w:rPr>
              <w:t>（万元）</w:t>
            </w:r>
          </w:p>
        </w:tc>
        <w:tc>
          <w:tcPr>
            <w:tcW w:w="4889" w:type="dxa"/>
            <w:tcBorders>
              <w:top w:val="single" w:color="000000" w:sz="12"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529BE21E">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center"/>
              <w:textAlignment w:val="auto"/>
              <w:rPr>
                <w:rFonts w:ascii="仿宋" w:hAnsi="仿宋" w:eastAsia="仿宋" w:cs="仿宋"/>
                <w:b/>
                <w:i w:val="0"/>
                <w:color w:val="000000"/>
                <w:sz w:val="32"/>
              </w:rPr>
            </w:pPr>
            <w:r>
              <w:rPr>
                <w:rFonts w:ascii="仿宋" w:hAnsi="仿宋" w:eastAsia="仿宋" w:cs="仿宋"/>
                <w:b/>
                <w:i w:val="0"/>
                <w:color w:val="000000"/>
                <w:sz w:val="32"/>
              </w:rPr>
              <w:t>支出明细</w:t>
            </w:r>
          </w:p>
        </w:tc>
      </w:tr>
      <w:tr w14:paraId="7F229CBA">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2022" w:type="dxa"/>
            <w:tcBorders>
              <w:top w:val="single" w:color="000000" w:sz="4" w:space="0"/>
              <w:left w:val="single" w:color="000000" w:sz="12"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A328551">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核心技术研发</w:t>
            </w:r>
          </w:p>
        </w:tc>
        <w:tc>
          <w:tcPr>
            <w:tcW w:w="161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ED07B7C">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60</w:t>
            </w:r>
          </w:p>
        </w:tc>
        <w:tc>
          <w:tcPr>
            <w:tcW w:w="4889" w:type="dxa"/>
            <w:tcBorders>
              <w:top w:val="single" w:color="000000" w:sz="4"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1A3AF208">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AI算法优化、数据接口开发、隐私保护系统搭建</w:t>
            </w:r>
          </w:p>
        </w:tc>
      </w:tr>
      <w:tr w14:paraId="053C56EF">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2022" w:type="dxa"/>
            <w:tcBorders>
              <w:top w:val="single" w:color="000000" w:sz="4" w:space="0"/>
              <w:left w:val="single" w:color="000000" w:sz="12"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C5A159E">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硬件采购与场地改造</w:t>
            </w:r>
          </w:p>
        </w:tc>
        <w:tc>
          <w:tcPr>
            <w:tcW w:w="161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A66F6F6">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80</w:t>
            </w:r>
          </w:p>
        </w:tc>
        <w:tc>
          <w:tcPr>
            <w:tcW w:w="4889" w:type="dxa"/>
            <w:tcBorders>
              <w:top w:val="single" w:color="000000" w:sz="4"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1C765CC0">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学习舱舱体定制、智能终端采购、试点场地装修改造</w:t>
            </w:r>
          </w:p>
        </w:tc>
      </w:tr>
      <w:tr w14:paraId="54DC03B1">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2022" w:type="dxa"/>
            <w:tcBorders>
              <w:top w:val="single" w:color="000000" w:sz="4" w:space="0"/>
              <w:left w:val="single" w:color="000000" w:sz="12"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3FBC9B9">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市场推广与品牌建设</w:t>
            </w:r>
          </w:p>
        </w:tc>
        <w:tc>
          <w:tcPr>
            <w:tcW w:w="161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4CC3B37">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30</w:t>
            </w:r>
          </w:p>
        </w:tc>
        <w:tc>
          <w:tcPr>
            <w:tcW w:w="4889" w:type="dxa"/>
            <w:tcBorders>
              <w:top w:val="single" w:color="000000" w:sz="4"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016334D1">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校园宣讲、新媒体投放、体验区搭建</w:t>
            </w:r>
          </w:p>
        </w:tc>
      </w:tr>
      <w:tr w14:paraId="3D29B9C7">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2022" w:type="dxa"/>
            <w:tcBorders>
              <w:top w:val="single" w:color="000000" w:sz="4" w:space="0"/>
              <w:left w:val="single" w:color="000000" w:sz="12"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338D75E">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团队薪资</w:t>
            </w:r>
          </w:p>
        </w:tc>
        <w:tc>
          <w:tcPr>
            <w:tcW w:w="161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159A14AA">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45</w:t>
            </w:r>
          </w:p>
        </w:tc>
        <w:tc>
          <w:tcPr>
            <w:tcW w:w="4889" w:type="dxa"/>
            <w:tcBorders>
              <w:top w:val="single" w:color="000000" w:sz="4"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5F5D2F16">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技术研发、运营推广、综合协调岗位人员薪酬</w:t>
            </w:r>
          </w:p>
        </w:tc>
      </w:tr>
      <w:tr w14:paraId="601DCC2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2022" w:type="dxa"/>
            <w:tcBorders>
              <w:top w:val="single" w:color="000000" w:sz="4" w:space="0"/>
              <w:left w:val="single" w:color="000000" w:sz="12"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B8E897A">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运维与管理费用</w:t>
            </w:r>
          </w:p>
        </w:tc>
        <w:tc>
          <w:tcPr>
            <w:tcW w:w="161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5DC95E80">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20</w:t>
            </w:r>
          </w:p>
        </w:tc>
        <w:tc>
          <w:tcPr>
            <w:tcW w:w="4889" w:type="dxa"/>
            <w:tcBorders>
              <w:top w:val="single" w:color="000000" w:sz="4"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7AA8307A">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设备运维、办公耗材、数据服务、水电等日常开支</w:t>
            </w:r>
          </w:p>
        </w:tc>
      </w:tr>
      <w:tr w14:paraId="106730CE">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2022" w:type="dxa"/>
            <w:tcBorders>
              <w:top w:val="single" w:color="000000" w:sz="4" w:space="0"/>
              <w:left w:val="single" w:color="000000" w:sz="12"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B417CF9">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应急储备资金</w:t>
            </w:r>
          </w:p>
        </w:tc>
        <w:tc>
          <w:tcPr>
            <w:tcW w:w="161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5784E36">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val="0"/>
                <w:i w:val="0"/>
                <w:color w:val="000000"/>
                <w:sz w:val="32"/>
              </w:rPr>
            </w:pPr>
            <w:r>
              <w:rPr>
                <w:rFonts w:ascii="仿宋" w:hAnsi="仿宋" w:eastAsia="仿宋" w:cs="仿宋"/>
                <w:b w:val="0"/>
                <w:i w:val="0"/>
                <w:color w:val="000000"/>
                <w:sz w:val="32"/>
              </w:rPr>
              <w:t>15</w:t>
            </w:r>
          </w:p>
        </w:tc>
        <w:tc>
          <w:tcPr>
            <w:tcW w:w="4889" w:type="dxa"/>
            <w:tcBorders>
              <w:top w:val="single" w:color="000000" w:sz="4" w:space="0"/>
              <w:left w:val="single" w:color="000000" w:sz="4" w:space="0"/>
              <w:bottom w:val="single" w:color="000000" w:sz="4" w:space="0"/>
              <w:right w:val="single" w:color="000000" w:sz="12" w:space="0"/>
            </w:tcBorders>
            <w:shd w:val="clear" w:color="auto" w:fill="FFFFFF"/>
            <w:tcMar>
              <w:top w:w="60" w:type="dxa"/>
              <w:left w:w="120" w:type="dxa"/>
              <w:bottom w:w="30" w:type="dxa"/>
              <w:right w:w="120" w:type="dxa"/>
            </w:tcMar>
            <w:vAlign w:val="center"/>
          </w:tcPr>
          <w:p w14:paraId="346D0708">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val="0"/>
                <w:i w:val="0"/>
                <w:color w:val="000000"/>
                <w:sz w:val="32"/>
              </w:rPr>
            </w:pPr>
            <w:r>
              <w:rPr>
                <w:rFonts w:ascii="仿宋" w:hAnsi="仿宋" w:eastAsia="仿宋" w:cs="仿宋"/>
                <w:b w:val="0"/>
                <w:i w:val="0"/>
                <w:color w:val="000000"/>
                <w:sz w:val="32"/>
              </w:rPr>
              <w:t>用于应对技术研发突发问题、硬件故障维修等突发支出</w:t>
            </w:r>
          </w:p>
        </w:tc>
      </w:tr>
      <w:tr w14:paraId="07D0EAE3">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0" w:hRule="atLeast"/>
          <w:jc w:val="center"/>
        </w:trPr>
        <w:tc>
          <w:tcPr>
            <w:tcW w:w="2022" w:type="dxa"/>
            <w:tcBorders>
              <w:top w:val="single" w:color="000000" w:sz="4" w:space="0"/>
              <w:left w:val="single" w:color="000000" w:sz="12" w:space="0"/>
              <w:bottom w:val="single" w:color="000000" w:sz="12" w:space="0"/>
              <w:right w:val="single" w:color="000000" w:sz="4" w:space="0"/>
            </w:tcBorders>
            <w:shd w:val="clear" w:color="auto" w:fill="FFFFFF"/>
            <w:tcMar>
              <w:top w:w="60" w:type="dxa"/>
              <w:left w:w="120" w:type="dxa"/>
              <w:bottom w:w="30" w:type="dxa"/>
              <w:right w:w="120" w:type="dxa"/>
            </w:tcMar>
            <w:vAlign w:val="center"/>
          </w:tcPr>
          <w:p w14:paraId="5911F263">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i w:val="0"/>
                <w:color w:val="000000"/>
                <w:sz w:val="32"/>
              </w:rPr>
            </w:pPr>
            <w:r>
              <w:rPr>
                <w:rFonts w:ascii="仿宋" w:hAnsi="仿宋" w:eastAsia="仿宋" w:cs="仿宋"/>
                <w:b/>
                <w:i w:val="0"/>
                <w:color w:val="000000"/>
                <w:sz w:val="32"/>
              </w:rPr>
              <w:t>总计</w:t>
            </w:r>
          </w:p>
        </w:tc>
        <w:tc>
          <w:tcPr>
            <w:tcW w:w="1610" w:type="dxa"/>
            <w:tcBorders>
              <w:top w:val="single" w:color="000000" w:sz="4" w:space="0"/>
              <w:left w:val="single" w:color="000000" w:sz="4" w:space="0"/>
              <w:bottom w:val="single" w:color="000000" w:sz="12" w:space="0"/>
              <w:right w:val="single" w:color="000000" w:sz="4" w:space="0"/>
            </w:tcBorders>
            <w:shd w:val="clear" w:color="auto" w:fill="FFFFFF"/>
            <w:tcMar>
              <w:top w:w="60" w:type="dxa"/>
              <w:left w:w="120" w:type="dxa"/>
              <w:bottom w:w="30" w:type="dxa"/>
              <w:right w:w="120" w:type="dxa"/>
            </w:tcMar>
            <w:vAlign w:val="center"/>
          </w:tcPr>
          <w:p w14:paraId="7730B5B6">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right"/>
              <w:textAlignment w:val="auto"/>
              <w:rPr>
                <w:rFonts w:ascii="仿宋" w:hAnsi="仿宋" w:eastAsia="仿宋" w:cs="仿宋"/>
                <w:b/>
                <w:i w:val="0"/>
                <w:color w:val="000000"/>
                <w:sz w:val="32"/>
              </w:rPr>
            </w:pPr>
            <w:r>
              <w:rPr>
                <w:rFonts w:ascii="仿宋" w:hAnsi="仿宋" w:eastAsia="仿宋" w:cs="仿宋"/>
                <w:b/>
                <w:i w:val="0"/>
                <w:color w:val="000000"/>
                <w:sz w:val="32"/>
              </w:rPr>
              <w:t>310</w:t>
            </w:r>
          </w:p>
        </w:tc>
        <w:tc>
          <w:tcPr>
            <w:tcW w:w="4889" w:type="dxa"/>
            <w:tcBorders>
              <w:top w:val="single" w:color="000000" w:sz="4" w:space="0"/>
              <w:left w:val="single" w:color="000000" w:sz="4" w:space="0"/>
              <w:bottom w:val="single" w:color="000000" w:sz="12" w:space="0"/>
              <w:right w:val="single" w:color="000000" w:sz="12" w:space="0"/>
            </w:tcBorders>
            <w:shd w:val="clear" w:color="auto" w:fill="FFFFFF"/>
            <w:tcMar>
              <w:top w:w="60" w:type="dxa"/>
              <w:left w:w="120" w:type="dxa"/>
              <w:bottom w:w="30" w:type="dxa"/>
              <w:right w:w="120" w:type="dxa"/>
            </w:tcMar>
            <w:vAlign w:val="center"/>
          </w:tcPr>
          <w:p w14:paraId="38BB121B">
            <w:pPr>
              <w:keepNext/>
              <w:keepLines w:val="0"/>
              <w:pageBreakBefore w:val="0"/>
              <w:widowControl w:val="0"/>
              <w:kinsoku/>
              <w:wordWrap/>
              <w:overflowPunct/>
              <w:topLinePunct w:val="0"/>
              <w:autoSpaceDE/>
              <w:autoSpaceDN/>
              <w:bidi w:val="0"/>
              <w:adjustRightInd/>
              <w:snapToGrid w:val="0"/>
              <w:spacing w:before="120" w:after="120" w:line="240" w:lineRule="auto"/>
              <w:ind w:left="0" w:leftChars="0" w:right="0" w:rightChars="0" w:firstLine="0" w:firstLineChars="0"/>
              <w:jc w:val="left"/>
              <w:textAlignment w:val="auto"/>
              <w:rPr>
                <w:rFonts w:ascii="仿宋" w:hAnsi="仿宋" w:eastAsia="仿宋" w:cs="仿宋"/>
                <w:b/>
                <w:i w:val="0"/>
                <w:color w:val="000000"/>
                <w:sz w:val="32"/>
              </w:rPr>
            </w:pPr>
            <w:r>
              <w:rPr>
                <w:rFonts w:ascii="仿宋" w:hAnsi="仿宋" w:eastAsia="仿宋" w:cs="仿宋"/>
                <w:b/>
                <w:i w:val="0"/>
                <w:color w:val="000000"/>
                <w:sz w:val="32"/>
              </w:rPr>
              <w:t>—</w:t>
            </w:r>
          </w:p>
        </w:tc>
      </w:tr>
    </w:tbl>
    <w:p w14:paraId="4CA5DAB4">
      <w:pPr>
        <w:keepLines w:val="0"/>
        <w:pageBreakBefore w:val="0"/>
        <w:widowControl w:val="0"/>
        <w:numPr>
          <w:ilvl w:val="0"/>
          <w:numId w:val="18"/>
        </w:numPr>
        <w:kinsoku/>
        <w:wordWrap/>
        <w:overflowPunct/>
        <w:topLinePunct w:val="0"/>
        <w:autoSpaceDE/>
        <w:autoSpaceDN/>
        <w:bidi w:val="0"/>
        <w:adjustRightInd/>
        <w:spacing w:before="120" w:after="120" w:line="288" w:lineRule="auto"/>
        <w:ind w:left="0" w:firstLine="643" w:firstLineChars="200"/>
        <w:jc w:val="left"/>
        <w:textAlignment w:val="auto"/>
        <w:rPr>
          <w:rFonts w:ascii="仿宋" w:hAnsi="仿宋" w:eastAsia="仿宋" w:cs="仿宋"/>
          <w:sz w:val="32"/>
        </w:rPr>
      </w:pPr>
      <w:r>
        <w:rPr>
          <w:rFonts w:ascii="仿宋" w:hAnsi="仿宋" w:eastAsia="仿宋" w:cs="仿宋"/>
          <w:b/>
          <w:sz w:val="32"/>
        </w:rPr>
        <w:t>资金收入计划</w:t>
      </w:r>
    </w:p>
    <w:p w14:paraId="254DFF5C">
      <w:pPr>
        <w:keepLines w:val="0"/>
        <w:pageBreakBefore w:val="0"/>
        <w:widowControl w:val="0"/>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根据项目发展战略，作为校园智慧服务创新项目，前3年以打磨产品、拓展校内市场为主，业务规模按每年25%的速度稳定增长；第4-5年向周边高校拓展，业务规模按45%的速度快速增长。预计首年实现营收50万元，第3年营收突破90万元，第5年营收达到220万元。</w:t>
      </w:r>
    </w:p>
    <w:p w14:paraId="1272E6E9">
      <w:pPr>
        <w:keepLines w:val="0"/>
        <w:pageBreakBefore w:val="0"/>
        <w:widowControl w:val="0"/>
        <w:kinsoku/>
        <w:wordWrap/>
        <w:overflowPunct/>
        <w:topLinePunct w:val="0"/>
        <w:autoSpaceDE/>
        <w:autoSpaceDN/>
        <w:bidi w:val="0"/>
        <w:adjustRightInd/>
        <w:spacing w:before="320" w:after="120" w:line="288" w:lineRule="auto"/>
        <w:ind w:left="0" w:firstLine="643" w:firstLineChars="200"/>
        <w:jc w:val="left"/>
        <w:textAlignment w:val="auto"/>
        <w:outlineLvl w:val="1"/>
        <w:rPr>
          <w:rFonts w:ascii="仿宋" w:hAnsi="仿宋" w:eastAsia="仿宋" w:cs="仿宋"/>
          <w:sz w:val="32"/>
        </w:rPr>
      </w:pPr>
      <w:bookmarkStart w:id="27" w:name="_Toc29451"/>
      <w:bookmarkStart w:id="28" w:name="heading_14"/>
      <w:r>
        <w:rPr>
          <w:rFonts w:ascii="仿宋" w:hAnsi="仿宋" w:eastAsia="仿宋" w:cs="仿宋"/>
          <w:b/>
          <w:sz w:val="32"/>
        </w:rPr>
        <w:t>（四）基本财务假设</w:t>
      </w:r>
      <w:bookmarkEnd w:id="27"/>
      <w:bookmarkEnd w:id="28"/>
    </w:p>
    <w:p w14:paraId="3E620D4C">
      <w:pPr>
        <w:keepLines w:val="0"/>
        <w:pageBreakBefore w:val="0"/>
        <w:widowControl w:val="0"/>
        <w:numPr>
          <w:ilvl w:val="0"/>
          <w:numId w:val="19"/>
        </w:numPr>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项目属于高校创新创业扶持项目，享受小微企业所得税优惠，所得税税率为10%；</w:t>
      </w:r>
    </w:p>
    <w:p w14:paraId="46566153">
      <w:pPr>
        <w:keepLines w:val="0"/>
        <w:pageBreakBefore w:val="0"/>
        <w:widowControl w:val="0"/>
        <w:numPr>
          <w:ilvl w:val="0"/>
          <w:numId w:val="20"/>
        </w:numPr>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项目为技术服务与硬件销售混合型业务，增值税税率为13%；</w:t>
      </w:r>
    </w:p>
    <w:p w14:paraId="60157295">
      <w:pPr>
        <w:keepLines w:val="0"/>
        <w:pageBreakBefore w:val="0"/>
        <w:widowControl w:val="0"/>
        <w:numPr>
          <w:ilvl w:val="0"/>
          <w:numId w:val="21"/>
        </w:numPr>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城市维护建设税为增值税的7%，教育费附加为增值税的3%；</w:t>
      </w:r>
    </w:p>
    <w:p w14:paraId="3B724007">
      <w:pPr>
        <w:keepLines w:val="0"/>
        <w:pageBreakBefore w:val="0"/>
        <w:widowControl w:val="0"/>
        <w:numPr>
          <w:ilvl w:val="0"/>
          <w:numId w:val="22"/>
        </w:numPr>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学习舱硬件按5年计提折旧，智能终端按3年计提折旧，预计残值均为5%；</w:t>
      </w:r>
    </w:p>
    <w:p w14:paraId="457CAD31">
      <w:pPr>
        <w:keepLines w:val="0"/>
        <w:pageBreakBefore w:val="0"/>
        <w:widowControl w:val="0"/>
        <w:numPr>
          <w:ilvl w:val="0"/>
          <w:numId w:val="23"/>
        </w:numPr>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盈利后，每年按税后利润的10%提取法定盈余公积金；</w:t>
      </w:r>
    </w:p>
    <w:p w14:paraId="697CB7E1">
      <w:pPr>
        <w:keepLines w:val="0"/>
        <w:pageBreakBefore w:val="0"/>
        <w:widowControl w:val="0"/>
        <w:numPr>
          <w:ilvl w:val="0"/>
          <w:numId w:val="24"/>
        </w:numPr>
        <w:kinsoku/>
        <w:wordWrap/>
        <w:overflowPunct/>
        <w:topLinePunct w:val="0"/>
        <w:autoSpaceDE/>
        <w:autoSpaceDN/>
        <w:bidi w:val="0"/>
        <w:adjustRightIn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项目折现率设定为8%。</w:t>
      </w:r>
    </w:p>
    <w:p w14:paraId="1FF87554">
      <w:pPr>
        <w:spacing w:before="380" w:after="140" w:line="288" w:lineRule="auto"/>
        <w:ind w:left="0"/>
        <w:jc w:val="center"/>
        <w:outlineLvl w:val="0"/>
        <w:rPr>
          <w:rFonts w:ascii="仿宋" w:hAnsi="仿宋" w:eastAsia="仿宋" w:cs="仿宋"/>
          <w:sz w:val="40"/>
          <w:szCs w:val="40"/>
          <w:shd w:val="clear" w:color="auto" w:fill="auto"/>
        </w:rPr>
      </w:pPr>
      <w:bookmarkStart w:id="29" w:name="_Toc27880"/>
      <w:bookmarkStart w:id="30" w:name="heading_15"/>
      <w:r>
        <w:rPr>
          <w:rFonts w:ascii="仿宋" w:hAnsi="仿宋" w:eastAsia="仿宋" w:cs="仿宋"/>
          <w:b/>
          <w:sz w:val="40"/>
          <w:szCs w:val="40"/>
          <w:shd w:val="clear" w:color="auto" w:fill="auto"/>
        </w:rPr>
        <w:t>九、关键风险认识</w:t>
      </w:r>
      <w:bookmarkEnd w:id="29"/>
      <w:bookmarkEnd w:id="30"/>
    </w:p>
    <w:p w14:paraId="75B83BD1">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AI自助学习舱项目具备较强的市场潜力和盈利预期，其核心价值在于为高校提供智能化、个性化的学习空间解决方案，除了学习舱的直接运营服务外，还可拓展学情数据分析、定制化学习资源开发等增值服务。AI技术在教育领域的应用正深刻改变校园服务模式，将为高校学习服务带来革命性升级。</w:t>
      </w:r>
    </w:p>
    <w:p w14:paraId="0E62AA2A">
      <w:pPr>
        <w:keepNext w:val="0"/>
        <w:keepLines w:val="0"/>
        <w:pageBreakBefore w:val="0"/>
        <w:widowControl w:val="0"/>
        <w:kinsoku/>
        <w:wordWrap/>
        <w:overflowPunct/>
        <w:topLinePunct w:val="0"/>
        <w:autoSpaceDE/>
        <w:autoSpaceDN/>
        <w:bidi w:val="0"/>
        <w:adjustRightInd/>
        <w:snapToGrid/>
        <w:spacing w:before="120" w:after="120" w:line="288" w:lineRule="auto"/>
        <w:ind w:left="0" w:firstLine="640" w:firstLineChars="200"/>
        <w:jc w:val="left"/>
        <w:textAlignment w:val="auto"/>
        <w:rPr>
          <w:rFonts w:ascii="仿宋" w:hAnsi="仿宋" w:eastAsia="仿宋" w:cs="仿宋"/>
          <w:sz w:val="32"/>
        </w:rPr>
      </w:pPr>
      <w:r>
        <w:rPr>
          <w:rFonts w:ascii="仿宋" w:hAnsi="仿宋" w:eastAsia="仿宋" w:cs="仿宋"/>
          <w:sz w:val="32"/>
        </w:rPr>
        <w:t>项目面临的核心风险是产品模式易被模仿，当前校园智慧服务领域的技术壁垒尚未完全建立，存在被同类项目复制的可能。针对此风险，团队将持续强化技术迭代速度，不断升级AI算法的精准度和服务的差异化，同时与高校签订独家服务协议，建立稳定的合作壁垒，始终以技术创新作为核心竞争力，保障项目的长期领先优势。</w:t>
      </w:r>
    </w:p>
    <w:sectPr>
      <w:footerReference r:id="rId5" w:type="default"/>
      <w:pgSz w:w="11905" w:h="1684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思源黑体 CN Heavy">
    <w:panose1 w:val="020B0A00000000000000"/>
    <w:charset w:val="86"/>
    <w:family w:val="auto"/>
    <w:pitch w:val="default"/>
    <w:sig w:usb0="20000003" w:usb1="2ADF3C10" w:usb2="00000016" w:usb3="00000000" w:csb0="60060107" w:csb1="00000000"/>
  </w:font>
  <w:font w:name="华文琥珀">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1E76F">
    <w:pPr>
      <w:tabs>
        <w:tab w:val="left" w:pos="5149"/>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DF3200">
    <w:pPr>
      <w:tabs>
        <w:tab w:val="left" w:pos="5149"/>
      </w:tabs>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E9781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4E9781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9EB70">
    <w:pPr>
      <w:pStyle w:val="4"/>
      <w:pBdr>
        <w:bottom w:val="none" w:color="auto" w:sz="0" w:space="0"/>
      </w:pBdr>
      <w:jc w:val="right"/>
      <w:rPr>
        <w:rFonts w:hint="eastAsia" w:ascii="黑体" w:hAnsi="黑体" w:eastAsia="黑体" w:cs="黑体"/>
        <w:lang w:val="en-US" w:eastAsia="zh-CN"/>
      </w:rPr>
    </w:pPr>
    <w:r>
      <w:rPr>
        <w:rFonts w:hint="eastAsia" w:ascii="黑体" w:hAnsi="黑体" w:eastAsia="黑体" w:cs="黑体"/>
        <w:lang w:val="en-US" w:eastAsia="zh-CN"/>
      </w:rPr>
      <w:t>浩宇软件工作室学术报告 2025-12 第02期</w:t>
    </w:r>
  </w:p>
  <w:p w14:paraId="5F4FB30C">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1"/>
      <w:numFmt w:val="decimal"/>
      <w:lvlText w:val="%1."/>
      <w:lvlJc w:val="left"/>
      <w:rPr>
        <w:color w:val="3370FF"/>
      </w:rPr>
    </w:lvl>
  </w:abstractNum>
  <w:abstractNum w:abstractNumId="1">
    <w:nsid w:val="9C8AC8EF"/>
    <w:multiLevelType w:val="singleLevel"/>
    <w:tmpl w:val="9C8AC8EF"/>
    <w:lvl w:ilvl="0" w:tentative="0">
      <w:start w:val="2"/>
      <w:numFmt w:val="decimal"/>
      <w:lvlText w:val="%1."/>
      <w:lvlJc w:val="left"/>
      <w:rPr>
        <w:color w:val="3370FF"/>
      </w:rPr>
    </w:lvl>
  </w:abstractNum>
  <w:abstractNum w:abstractNumId="2">
    <w:nsid w:val="B5E306ED"/>
    <w:multiLevelType w:val="singleLevel"/>
    <w:tmpl w:val="B5E306ED"/>
    <w:lvl w:ilvl="0" w:tentative="0">
      <w:start w:val="2"/>
      <w:numFmt w:val="decimal"/>
      <w:lvlText w:val="%1."/>
      <w:lvlJc w:val="left"/>
      <w:rPr>
        <w:color w:val="3370FF"/>
      </w:rPr>
    </w:lvl>
  </w:abstractNum>
  <w:abstractNum w:abstractNumId="3">
    <w:nsid w:val="BF205925"/>
    <w:multiLevelType w:val="singleLevel"/>
    <w:tmpl w:val="BF205925"/>
    <w:lvl w:ilvl="0" w:tentative="0">
      <w:start w:val="1"/>
      <w:numFmt w:val="decimal"/>
      <w:lvlText w:val="%1."/>
      <w:lvlJc w:val="left"/>
      <w:rPr>
        <w:color w:val="3370FF"/>
      </w:rPr>
    </w:lvl>
  </w:abstractNum>
  <w:abstractNum w:abstractNumId="4">
    <w:nsid w:val="C8879AEF"/>
    <w:multiLevelType w:val="singleLevel"/>
    <w:tmpl w:val="C8879AEF"/>
    <w:lvl w:ilvl="0" w:tentative="0">
      <w:start w:val="1"/>
      <w:numFmt w:val="decimal"/>
      <w:lvlText w:val="%1."/>
      <w:lvlJc w:val="left"/>
      <w:rPr>
        <w:color w:val="3370FF"/>
      </w:rPr>
    </w:lvl>
  </w:abstractNum>
  <w:abstractNum w:abstractNumId="5">
    <w:nsid w:val="CF092B84"/>
    <w:multiLevelType w:val="singleLevel"/>
    <w:tmpl w:val="CF092B84"/>
    <w:lvl w:ilvl="0" w:tentative="0">
      <w:start w:val="2"/>
      <w:numFmt w:val="decimal"/>
      <w:lvlText w:val="%1."/>
      <w:lvlJc w:val="left"/>
      <w:rPr>
        <w:color w:val="3370FF"/>
      </w:rPr>
    </w:lvl>
  </w:abstractNum>
  <w:abstractNum w:abstractNumId="6">
    <w:nsid w:val="D7F9FE59"/>
    <w:multiLevelType w:val="singleLevel"/>
    <w:tmpl w:val="D7F9FE59"/>
    <w:lvl w:ilvl="0" w:tentative="0">
      <w:start w:val="1"/>
      <w:numFmt w:val="decimal"/>
      <w:lvlText w:val="%1."/>
      <w:lvlJc w:val="left"/>
      <w:rPr>
        <w:color w:val="3370FF"/>
      </w:rPr>
    </w:lvl>
  </w:abstractNum>
  <w:abstractNum w:abstractNumId="7">
    <w:nsid w:val="DCBA6B53"/>
    <w:multiLevelType w:val="singleLevel"/>
    <w:tmpl w:val="DCBA6B53"/>
    <w:lvl w:ilvl="0" w:tentative="0">
      <w:start w:val="2"/>
      <w:numFmt w:val="decimal"/>
      <w:lvlText w:val="%1."/>
      <w:lvlJc w:val="left"/>
      <w:rPr>
        <w:color w:val="3370FF"/>
      </w:rPr>
    </w:lvl>
  </w:abstractNum>
  <w:abstractNum w:abstractNumId="8">
    <w:nsid w:val="F4B5D9F5"/>
    <w:multiLevelType w:val="singleLevel"/>
    <w:tmpl w:val="F4B5D9F5"/>
    <w:lvl w:ilvl="0" w:tentative="0">
      <w:start w:val="3"/>
      <w:numFmt w:val="decimal"/>
      <w:lvlText w:val="%1."/>
      <w:lvlJc w:val="left"/>
      <w:rPr>
        <w:color w:val="3370FF"/>
      </w:rPr>
    </w:lvl>
  </w:abstractNum>
  <w:abstractNum w:abstractNumId="9">
    <w:nsid w:val="0053208E"/>
    <w:multiLevelType w:val="singleLevel"/>
    <w:tmpl w:val="0053208E"/>
    <w:lvl w:ilvl="0" w:tentative="0">
      <w:start w:val="1"/>
      <w:numFmt w:val="decimal"/>
      <w:lvlText w:val="%1."/>
      <w:lvlJc w:val="left"/>
      <w:rPr>
        <w:color w:val="3370FF"/>
      </w:rPr>
    </w:lvl>
  </w:abstractNum>
  <w:abstractNum w:abstractNumId="10">
    <w:nsid w:val="0248C179"/>
    <w:multiLevelType w:val="singleLevel"/>
    <w:tmpl w:val="0248C179"/>
    <w:lvl w:ilvl="0" w:tentative="0">
      <w:start w:val="2"/>
      <w:numFmt w:val="decimal"/>
      <w:lvlText w:val="%1."/>
      <w:lvlJc w:val="left"/>
      <w:rPr>
        <w:color w:val="3370FF"/>
      </w:rPr>
    </w:lvl>
  </w:abstractNum>
  <w:abstractNum w:abstractNumId="11">
    <w:nsid w:val="03D62ECE"/>
    <w:multiLevelType w:val="singleLevel"/>
    <w:tmpl w:val="03D62ECE"/>
    <w:lvl w:ilvl="0" w:tentative="0">
      <w:start w:val="3"/>
      <w:numFmt w:val="decimal"/>
      <w:lvlText w:val="%1."/>
      <w:lvlJc w:val="left"/>
      <w:rPr>
        <w:color w:val="3370FF"/>
      </w:rPr>
    </w:lvl>
  </w:abstractNum>
  <w:abstractNum w:abstractNumId="12">
    <w:nsid w:val="0E640482"/>
    <w:multiLevelType w:val="singleLevel"/>
    <w:tmpl w:val="0E640482"/>
    <w:lvl w:ilvl="0" w:tentative="0">
      <w:start w:val="5"/>
      <w:numFmt w:val="decimal"/>
      <w:lvlText w:val="%1."/>
      <w:lvlJc w:val="left"/>
      <w:rPr>
        <w:color w:val="3370FF"/>
      </w:rPr>
    </w:lvl>
  </w:abstractNum>
  <w:abstractNum w:abstractNumId="13">
    <w:nsid w:val="2470EC97"/>
    <w:multiLevelType w:val="singleLevel"/>
    <w:tmpl w:val="2470EC97"/>
    <w:lvl w:ilvl="0" w:tentative="0">
      <w:start w:val="1"/>
      <w:numFmt w:val="decimal"/>
      <w:lvlText w:val="%1."/>
      <w:lvlJc w:val="left"/>
      <w:rPr>
        <w:color w:val="3370FF"/>
      </w:rPr>
    </w:lvl>
  </w:abstractNum>
  <w:abstractNum w:abstractNumId="14">
    <w:nsid w:val="25B654F3"/>
    <w:multiLevelType w:val="singleLevel"/>
    <w:tmpl w:val="25B654F3"/>
    <w:lvl w:ilvl="0" w:tentative="0">
      <w:start w:val="4"/>
      <w:numFmt w:val="decimal"/>
      <w:lvlText w:val="%1."/>
      <w:lvlJc w:val="left"/>
      <w:rPr>
        <w:color w:val="3370FF"/>
      </w:rPr>
    </w:lvl>
  </w:abstractNum>
  <w:abstractNum w:abstractNumId="15">
    <w:nsid w:val="2A8F537B"/>
    <w:multiLevelType w:val="singleLevel"/>
    <w:tmpl w:val="2A8F537B"/>
    <w:lvl w:ilvl="0" w:tentative="0">
      <w:start w:val="2"/>
      <w:numFmt w:val="decimal"/>
      <w:lvlText w:val="%1."/>
      <w:lvlJc w:val="left"/>
      <w:rPr>
        <w:color w:val="3370FF"/>
      </w:rPr>
    </w:lvl>
  </w:abstractNum>
  <w:abstractNum w:abstractNumId="16">
    <w:nsid w:val="36E6B94C"/>
    <w:multiLevelType w:val="singleLevel"/>
    <w:tmpl w:val="36E6B94C"/>
    <w:lvl w:ilvl="0" w:tentative="0">
      <w:start w:val="1"/>
      <w:numFmt w:val="decimal"/>
      <w:lvlText w:val="%1."/>
      <w:lvlJc w:val="left"/>
      <w:pPr>
        <w:ind w:left="425" w:hanging="425"/>
      </w:pPr>
      <w:rPr>
        <w:rFonts w:hint="default"/>
        <w:color w:val="4874CB" w:themeColor="accent1"/>
        <w14:textFill>
          <w14:solidFill>
            <w14:schemeClr w14:val="accent1"/>
          </w14:solidFill>
        </w14:textFill>
      </w:rPr>
    </w:lvl>
  </w:abstractNum>
  <w:abstractNum w:abstractNumId="17">
    <w:nsid w:val="46A08BB8"/>
    <w:multiLevelType w:val="singleLevel"/>
    <w:tmpl w:val="46A08BB8"/>
    <w:lvl w:ilvl="0" w:tentative="0">
      <w:start w:val="6"/>
      <w:numFmt w:val="decimal"/>
      <w:lvlText w:val="%1."/>
      <w:lvlJc w:val="left"/>
      <w:rPr>
        <w:color w:val="3370FF"/>
      </w:rPr>
    </w:lvl>
  </w:abstractNum>
  <w:abstractNum w:abstractNumId="18">
    <w:nsid w:val="4C1BAE26"/>
    <w:multiLevelType w:val="singleLevel"/>
    <w:tmpl w:val="4C1BAE26"/>
    <w:lvl w:ilvl="0" w:tentative="0">
      <w:start w:val="3"/>
      <w:numFmt w:val="decimal"/>
      <w:lvlText w:val="%1."/>
      <w:lvlJc w:val="left"/>
      <w:rPr>
        <w:color w:val="3370FF"/>
      </w:rPr>
    </w:lvl>
  </w:abstractNum>
  <w:abstractNum w:abstractNumId="19">
    <w:nsid w:val="4D4DC07F"/>
    <w:multiLevelType w:val="singleLevel"/>
    <w:tmpl w:val="4D4DC07F"/>
    <w:lvl w:ilvl="0" w:tentative="0">
      <w:start w:val="2"/>
      <w:numFmt w:val="decimal"/>
      <w:lvlText w:val="%1."/>
      <w:lvlJc w:val="left"/>
      <w:rPr>
        <w:color w:val="3370FF"/>
      </w:rPr>
    </w:lvl>
  </w:abstractNum>
  <w:abstractNum w:abstractNumId="20">
    <w:nsid w:val="59ADCABA"/>
    <w:multiLevelType w:val="singleLevel"/>
    <w:tmpl w:val="59ADCABA"/>
    <w:lvl w:ilvl="0" w:tentative="0">
      <w:start w:val="3"/>
      <w:numFmt w:val="decimal"/>
      <w:lvlText w:val="%1."/>
      <w:lvlJc w:val="left"/>
      <w:rPr>
        <w:color w:val="3370FF"/>
      </w:rPr>
    </w:lvl>
  </w:abstractNum>
  <w:abstractNum w:abstractNumId="21">
    <w:nsid w:val="5A241D34"/>
    <w:multiLevelType w:val="singleLevel"/>
    <w:tmpl w:val="5A241D34"/>
    <w:lvl w:ilvl="0" w:tentative="0">
      <w:start w:val="3"/>
      <w:numFmt w:val="decimal"/>
      <w:lvlText w:val="%1."/>
      <w:lvlJc w:val="left"/>
      <w:rPr>
        <w:color w:val="3370FF"/>
      </w:rPr>
    </w:lvl>
  </w:abstractNum>
  <w:abstractNum w:abstractNumId="22">
    <w:nsid w:val="60382F6E"/>
    <w:multiLevelType w:val="singleLevel"/>
    <w:tmpl w:val="60382F6E"/>
    <w:lvl w:ilvl="0" w:tentative="0">
      <w:start w:val="4"/>
      <w:numFmt w:val="decimal"/>
      <w:lvlText w:val="%1."/>
      <w:lvlJc w:val="left"/>
      <w:rPr>
        <w:color w:val="3370FF"/>
      </w:rPr>
    </w:lvl>
  </w:abstractNum>
  <w:abstractNum w:abstractNumId="23">
    <w:nsid w:val="72183CF9"/>
    <w:multiLevelType w:val="singleLevel"/>
    <w:tmpl w:val="72183CF9"/>
    <w:lvl w:ilvl="0" w:tentative="0">
      <w:start w:val="1"/>
      <w:numFmt w:val="decimal"/>
      <w:lvlText w:val="%1."/>
      <w:lvlJc w:val="left"/>
      <w:rPr>
        <w:color w:val="3370FF"/>
      </w:rPr>
    </w:lvl>
  </w:abstractNum>
  <w:num w:numId="1">
    <w:abstractNumId w:val="16"/>
  </w:num>
  <w:num w:numId="2">
    <w:abstractNumId w:val="9"/>
  </w:num>
  <w:num w:numId="3">
    <w:abstractNumId w:val="5"/>
  </w:num>
  <w:num w:numId="4">
    <w:abstractNumId w:val="20"/>
  </w:num>
  <w:num w:numId="5">
    <w:abstractNumId w:val="3"/>
  </w:num>
  <w:num w:numId="6">
    <w:abstractNumId w:val="2"/>
  </w:num>
  <w:num w:numId="7">
    <w:abstractNumId w:val="11"/>
  </w:num>
  <w:num w:numId="8">
    <w:abstractNumId w:val="14"/>
  </w:num>
  <w:num w:numId="9">
    <w:abstractNumId w:val="23"/>
  </w:num>
  <w:num w:numId="10">
    <w:abstractNumId w:val="10"/>
  </w:num>
  <w:num w:numId="11">
    <w:abstractNumId w:val="0"/>
  </w:num>
  <w:num w:numId="12">
    <w:abstractNumId w:val="15"/>
  </w:num>
  <w:num w:numId="13">
    <w:abstractNumId w:val="21"/>
  </w:num>
  <w:num w:numId="14">
    <w:abstractNumId w:val="4"/>
  </w:num>
  <w:num w:numId="15">
    <w:abstractNumId w:val="19"/>
  </w:num>
  <w:num w:numId="16">
    <w:abstractNumId w:val="8"/>
  </w:num>
  <w:num w:numId="17">
    <w:abstractNumId w:val="13"/>
  </w:num>
  <w:num w:numId="18">
    <w:abstractNumId w:val="7"/>
  </w:num>
  <w:num w:numId="19">
    <w:abstractNumId w:val="6"/>
  </w:num>
  <w:num w:numId="20">
    <w:abstractNumId w:val="1"/>
  </w:num>
  <w:num w:numId="21">
    <w:abstractNumId w:val="18"/>
  </w:num>
  <w:num w:numId="22">
    <w:abstractNumId w:val="22"/>
  </w:num>
  <w:num w:numId="23">
    <w:abstractNumId w:val="12"/>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011CD"/>
    <w:rsid w:val="06A31DF0"/>
    <w:rsid w:val="118273C5"/>
    <w:rsid w:val="1C4A6106"/>
    <w:rsid w:val="1EBC0307"/>
    <w:rsid w:val="22A3415F"/>
    <w:rsid w:val="2E7411CE"/>
    <w:rsid w:val="380C5081"/>
    <w:rsid w:val="3F3A14A4"/>
    <w:rsid w:val="46617015"/>
    <w:rsid w:val="49F75300"/>
    <w:rsid w:val="506630BB"/>
    <w:rsid w:val="55753AC3"/>
    <w:rsid w:val="5D7A0B52"/>
    <w:rsid w:val="5E1F76FA"/>
    <w:rsid w:val="71B0312F"/>
    <w:rsid w:val="72012990"/>
    <w:rsid w:val="79AB7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styleId="6">
    <w:name w:val="toc 2"/>
    <w:basedOn w:val="1"/>
    <w:next w:val="1"/>
    <w:uiPriority w:val="0"/>
    <w:pPr>
      <w:ind w:left="420" w:leftChars="200"/>
    </w:p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4800</Words>
  <Characters>4938</Characters>
  <Lines>0</Lines>
  <Paragraphs>0</Paragraphs>
  <TotalTime>0</TotalTime>
  <ScaleCrop>false</ScaleCrop>
  <LinksUpToDate>false</LinksUpToDate>
  <CharactersWithSpaces>5030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2025-12-07T12:53:00Z</dcterms:created>
  <dc:creator>86173</dc:creator>
  <cp:lastModifiedBy>星光闪耀</cp:lastModifiedBy>
  <dcterms:modified xsi:type="dcterms:W3CDTF">2025-12-08T07:07:11Z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eyJoZGlkIjoiZDdkYzgxOGU1NjMwMjg3YmZjYTA3NGUyMjMyMGJiMTYiLCJ1c2VySWQiOiIzMzEyMDU0MTgifQ==</vt:lpwstr>
  </property>
  <property fmtid="{D5CDD505-2E9C-101B-9397-08002B2CF9AE}" pid="4" name="ICV">
    <vt:lpwstr>EF4CFAD6E73C483C96F1C0A183C97493_12</vt:lpwstr>
  </property>
</Properties>
</file>