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AA9807">
      <w:pPr>
        <w:rPr>
          <w:rFonts w:hint="eastAsia" w:eastAsiaTheme="minorEastAsia"/>
          <w:lang w:eastAsia="zh-CN"/>
        </w:rPr>
      </w:pPr>
      <w:bookmarkStart w:id="18" w:name="_GoBack"/>
      <w:bookmarkEnd w:id="18"/>
      <w:bookmarkStart w:id="0" w:name="_Toc29001"/>
      <w:r>
        <w:rPr>
          <w:sz w:val="21"/>
        </w:rPr>
        <mc:AlternateContent>
          <mc:Choice Requires="wps">
            <w:drawing>
              <wp:anchor distT="0" distB="0" distL="114300" distR="114300" simplePos="0" relativeHeight="251663360" behindDoc="0" locked="0" layoutInCell="1" allowOverlap="1">
                <wp:simplePos x="0" y="0"/>
                <wp:positionH relativeFrom="column">
                  <wp:posOffset>4186555</wp:posOffset>
                </wp:positionH>
                <wp:positionV relativeFrom="paragraph">
                  <wp:posOffset>7347585</wp:posOffset>
                </wp:positionV>
                <wp:extent cx="1998980" cy="850900"/>
                <wp:effectExtent l="0" t="0" r="0" b="0"/>
                <wp:wrapNone/>
                <wp:docPr id="6" name="文本框 6"/>
                <wp:cNvGraphicFramePr/>
                <a:graphic xmlns:a="http://schemas.openxmlformats.org/drawingml/2006/main">
                  <a:graphicData uri="http://schemas.microsoft.com/office/word/2010/wordprocessingShape">
                    <wps:wsp>
                      <wps:cNvSpPr txBox="1"/>
                      <wps:spPr>
                        <a:xfrm>
                          <a:off x="5415280" y="8254365"/>
                          <a:ext cx="1998980" cy="8509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EB2789">
                            <w:pPr>
                              <w:rPr>
                                <w:rFonts w:hint="eastAsia" w:ascii="华文楷体" w:hAnsi="华文楷体" w:eastAsia="华文楷体" w:cs="华文楷体"/>
                                <w:b/>
                                <w:bCs/>
                                <w:sz w:val="32"/>
                                <w:szCs w:val="40"/>
                                <w:lang w:val="en-US" w:eastAsia="zh-CN"/>
                              </w:rPr>
                            </w:pPr>
                            <w:r>
                              <w:rPr>
                                <w:rFonts w:hint="eastAsia" w:ascii="华文楷体" w:hAnsi="华文楷体" w:eastAsia="华文楷体" w:cs="华文楷体"/>
                                <w:b/>
                                <w:bCs/>
                                <w:sz w:val="32"/>
                                <w:szCs w:val="40"/>
                                <w:lang w:val="en-US" w:eastAsia="zh-CN"/>
                              </w:rPr>
                              <w:t>本期作者 共</w:t>
                            </w:r>
                            <w:r>
                              <w:rPr>
                                <w:rFonts w:hint="eastAsia" w:ascii="华文楷体" w:hAnsi="华文楷体" w:eastAsia="华文楷体" w:cs="华文楷体"/>
                                <w:b/>
                                <w:bCs/>
                                <w:color w:val="FF0000"/>
                                <w:sz w:val="32"/>
                                <w:szCs w:val="40"/>
                                <w:u w:val="single"/>
                                <w:lang w:val="en-US" w:eastAsia="zh-CN"/>
                              </w:rPr>
                              <w:t>1</w:t>
                            </w:r>
                            <w:r>
                              <w:rPr>
                                <w:rFonts w:hint="eastAsia" w:ascii="华文楷体" w:hAnsi="华文楷体" w:eastAsia="华文楷体" w:cs="华文楷体"/>
                                <w:b/>
                                <w:bCs/>
                                <w:sz w:val="32"/>
                                <w:szCs w:val="40"/>
                                <w:lang w:val="en-US" w:eastAsia="zh-CN"/>
                              </w:rPr>
                              <w:t>人：</w:t>
                            </w:r>
                          </w:p>
                          <w:p w14:paraId="2AF7ED80">
                            <w:pPr>
                              <w:numPr>
                                <w:ilvl w:val="0"/>
                                <w:numId w:val="1"/>
                              </w:numPr>
                              <w:ind w:left="425" w:leftChars="0" w:hanging="425" w:firstLineChars="0"/>
                              <w:rPr>
                                <w:rFonts w:hint="default" w:ascii="华文楷体" w:hAnsi="华文楷体" w:eastAsia="华文楷体" w:cs="华文楷体"/>
                                <w:b/>
                                <w:bCs/>
                                <w:color w:val="4874CB" w:themeColor="accent1"/>
                                <w:sz w:val="32"/>
                                <w:szCs w:val="40"/>
                                <w:lang w:val="en-US" w:eastAsia="zh-CN"/>
                                <w14:textFill>
                                  <w14:solidFill>
                                    <w14:schemeClr w14:val="accent1"/>
                                  </w14:solidFill>
                                </w14:textFill>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尤浩宇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9.65pt;margin-top:578.55pt;height:67pt;width:157.4pt;z-index:251663360;mso-width-relative:page;mso-height-relative:page;" filled="f" stroked="f" coordsize="21600,21600" o:gfxdata="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FKOIdt0AAAANAQAADwAAAAAA&#10;AAABACAAAAAiAAAAZHJzL2Rvd25yZXYueG1sUEsBAhQAFAAAAAgAh07iQAwl43tHAgAAcgQAAA4A&#10;AAAAAAAAAQAgAAAALAEAAGRycy9lMm9Eb2MueG1sUEsFBgAAAAAGAAYAWQEAAOUFAAAAAA==&#10;">
                <v:fill on="f" focussize="0,0"/>
                <v:stroke on="f" weight="0.5pt"/>
                <v:imagedata o:title=""/>
                <o:lock v:ext="edit" aspectratio="f"/>
                <v:textbox>
                  <w:txbxContent>
                    <w:p w14:paraId="13EB2789">
                      <w:pPr>
                        <w:rPr>
                          <w:rFonts w:hint="eastAsia" w:ascii="华文楷体" w:hAnsi="华文楷体" w:eastAsia="华文楷体" w:cs="华文楷体"/>
                          <w:b/>
                          <w:bCs/>
                          <w:sz w:val="32"/>
                          <w:szCs w:val="40"/>
                          <w:lang w:val="en-US" w:eastAsia="zh-CN"/>
                        </w:rPr>
                      </w:pPr>
                      <w:r>
                        <w:rPr>
                          <w:rFonts w:hint="eastAsia" w:ascii="华文楷体" w:hAnsi="华文楷体" w:eastAsia="华文楷体" w:cs="华文楷体"/>
                          <w:b/>
                          <w:bCs/>
                          <w:sz w:val="32"/>
                          <w:szCs w:val="40"/>
                          <w:lang w:val="en-US" w:eastAsia="zh-CN"/>
                        </w:rPr>
                        <w:t>本期作者 共</w:t>
                      </w:r>
                      <w:r>
                        <w:rPr>
                          <w:rFonts w:hint="eastAsia" w:ascii="华文楷体" w:hAnsi="华文楷体" w:eastAsia="华文楷体" w:cs="华文楷体"/>
                          <w:b/>
                          <w:bCs/>
                          <w:color w:val="FF0000"/>
                          <w:sz w:val="32"/>
                          <w:szCs w:val="40"/>
                          <w:u w:val="single"/>
                          <w:lang w:val="en-US" w:eastAsia="zh-CN"/>
                        </w:rPr>
                        <w:t>1</w:t>
                      </w:r>
                      <w:r>
                        <w:rPr>
                          <w:rFonts w:hint="eastAsia" w:ascii="华文楷体" w:hAnsi="华文楷体" w:eastAsia="华文楷体" w:cs="华文楷体"/>
                          <w:b/>
                          <w:bCs/>
                          <w:sz w:val="32"/>
                          <w:szCs w:val="40"/>
                          <w:lang w:val="en-US" w:eastAsia="zh-CN"/>
                        </w:rPr>
                        <w:t>人：</w:t>
                      </w:r>
                    </w:p>
                    <w:p w14:paraId="2AF7ED80">
                      <w:pPr>
                        <w:numPr>
                          <w:ilvl w:val="0"/>
                          <w:numId w:val="1"/>
                        </w:numPr>
                        <w:ind w:left="425" w:leftChars="0" w:hanging="425" w:firstLineChars="0"/>
                        <w:rPr>
                          <w:rFonts w:hint="default" w:ascii="华文楷体" w:hAnsi="华文楷体" w:eastAsia="华文楷体" w:cs="华文楷体"/>
                          <w:b/>
                          <w:bCs/>
                          <w:color w:val="4874CB" w:themeColor="accent1"/>
                          <w:sz w:val="32"/>
                          <w:szCs w:val="40"/>
                          <w:lang w:val="en-US" w:eastAsia="zh-CN"/>
                          <w14:textFill>
                            <w14:solidFill>
                              <w14:schemeClr w14:val="accent1"/>
                            </w14:solidFill>
                          </w14:textFill>
                        </w:rPr>
                      </w:pPr>
                      <w:r>
                        <w:rPr>
                          <w:rFonts w:hint="eastAsia" w:ascii="华文楷体" w:hAnsi="华文楷体" w:eastAsia="华文楷体" w:cs="华文楷体"/>
                          <w:b/>
                          <w:bCs/>
                          <w:color w:val="4874CB" w:themeColor="accent1"/>
                          <w:sz w:val="32"/>
                          <w:szCs w:val="40"/>
                          <w:lang w:val="en-US" w:eastAsia="zh-CN"/>
                          <w14:textFill>
                            <w14:solidFill>
                              <w14:schemeClr w14:val="accent1"/>
                            </w14:solidFill>
                          </w14:textFill>
                        </w:rPr>
                        <w:t>尤浩宇</w:t>
                      </w:r>
                    </w:p>
                  </w:txbxContent>
                </v:textbox>
              </v:shape>
            </w:pict>
          </mc:Fallback>
        </mc:AlternateContent>
      </w:r>
      <w:r>
        <w:rPr>
          <w:rFonts w:hint="eastAsia" w:eastAsiaTheme="minorEastAsia"/>
          <w:lang w:eastAsia="zh-CN"/>
        </w:rPr>
        <w:drawing>
          <wp:anchor distT="0" distB="0" distL="114300" distR="114300" simplePos="0" relativeHeight="251661312" behindDoc="0" locked="0" layoutInCell="1" allowOverlap="1">
            <wp:simplePos x="0" y="0"/>
            <wp:positionH relativeFrom="column">
              <wp:posOffset>2051050</wp:posOffset>
            </wp:positionH>
            <wp:positionV relativeFrom="paragraph">
              <wp:posOffset>3362325</wp:posOffset>
            </wp:positionV>
            <wp:extent cx="1574800" cy="886460"/>
            <wp:effectExtent l="0" t="0" r="0" b="0"/>
            <wp:wrapNone/>
            <wp:docPr id="3" name="图片 3" descr="图标-带文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标-带文字"/>
                    <pic:cNvPicPr>
                      <a:picLocks noChangeAspect="1"/>
                    </pic:cNvPicPr>
                  </pic:nvPicPr>
                  <pic:blipFill>
                    <a:blip r:embed="rId6"/>
                    <a:stretch>
                      <a:fillRect/>
                    </a:stretch>
                  </pic:blipFill>
                  <pic:spPr>
                    <a:xfrm>
                      <a:off x="0" y="0"/>
                      <a:ext cx="1574800" cy="886460"/>
                    </a:xfrm>
                    <a:prstGeom prst="rect">
                      <a:avLst/>
                    </a:prstGeom>
                  </pic:spPr>
                </pic:pic>
              </a:graphicData>
            </a:graphic>
          </wp:anchor>
        </w:drawing>
      </w:r>
      <w:r>
        <w:rPr>
          <w:sz w:val="21"/>
        </w:rPr>
        <mc:AlternateContent>
          <mc:Choice Requires="wps">
            <w:drawing>
              <wp:anchor distT="0" distB="0" distL="114300" distR="114300" simplePos="0" relativeHeight="251662336" behindDoc="0" locked="0" layoutInCell="1" allowOverlap="1">
                <wp:simplePos x="0" y="0"/>
                <wp:positionH relativeFrom="column">
                  <wp:posOffset>-528955</wp:posOffset>
                </wp:positionH>
                <wp:positionV relativeFrom="paragraph">
                  <wp:posOffset>2516505</wp:posOffset>
                </wp:positionV>
                <wp:extent cx="2851785" cy="773430"/>
                <wp:effectExtent l="0" t="0" r="0" b="0"/>
                <wp:wrapNone/>
                <wp:docPr id="5" name="文本框 5"/>
                <wp:cNvGraphicFramePr/>
                <a:graphic xmlns:a="http://schemas.openxmlformats.org/drawingml/2006/main">
                  <a:graphicData uri="http://schemas.microsoft.com/office/word/2010/wordprocessingShape">
                    <wps:wsp>
                      <wps:cNvSpPr txBox="1"/>
                      <wps:spPr>
                        <a:xfrm>
                          <a:off x="374015" y="1396365"/>
                          <a:ext cx="2851785" cy="773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94C611">
                            <w:pPr>
                              <w:jc w:val="left"/>
                              <w:rPr>
                                <w:rFonts w:hint="eastAsia" w:ascii="思源黑体 CN Heavy" w:hAnsi="思源黑体 CN Heavy" w:eastAsia="思源黑体 CN Heavy" w:cs="思源黑体 CN Heavy"/>
                                <w:sz w:val="52"/>
                                <w:szCs w:val="60"/>
                                <w:lang w:val="en-US" w:eastAsia="zh-CN"/>
                              </w:rPr>
                            </w:pPr>
                            <w:r>
                              <w:rPr>
                                <w:rFonts w:hint="eastAsia" w:ascii="思源黑体 CN Heavy" w:hAnsi="思源黑体 CN Heavy" w:eastAsia="思源黑体 CN Heavy" w:cs="思源黑体 CN Heavy"/>
                                <w:sz w:val="52"/>
                                <w:szCs w:val="60"/>
                                <w:lang w:val="en-US" w:eastAsia="zh-CN"/>
                              </w:rPr>
                              <w:t>2025-12 第01期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65pt;margin-top:198.15pt;height:60.9pt;width:224.55pt;z-index:251662336;mso-width-relative:page;mso-height-relative:page;" filled="f" stroked="f" coordsize="21600,21600" o:gfxdata="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PlwDw9wAAAALAQAADwAAAAAA&#10;AAABACAAAAAiAAAAZHJzL2Rvd25yZXYueG1sUEsBAhQAFAAAAAgAh07iQKFPiEpIAgAAcQQAAA4A&#10;AAAAAAAAAQAgAAAAKwEAAGRycy9lMm9Eb2MueG1sUEsFBgAAAAAGAAYAWQEAAOUFAAAAAA==&#10;">
                <v:fill on="f" focussize="0,0"/>
                <v:stroke on="f" weight="0.5pt"/>
                <v:imagedata o:title=""/>
                <o:lock v:ext="edit" aspectratio="f"/>
                <v:textbox>
                  <w:txbxContent>
                    <w:p w14:paraId="5E94C611">
                      <w:pPr>
                        <w:jc w:val="left"/>
                        <w:rPr>
                          <w:rFonts w:hint="eastAsia" w:ascii="思源黑体 CN Heavy" w:hAnsi="思源黑体 CN Heavy" w:eastAsia="思源黑体 CN Heavy" w:cs="思源黑体 CN Heavy"/>
                          <w:sz w:val="52"/>
                          <w:szCs w:val="60"/>
                          <w:lang w:val="en-US" w:eastAsia="zh-CN"/>
                        </w:rPr>
                      </w:pPr>
                      <w:r>
                        <w:rPr>
                          <w:rFonts w:hint="eastAsia" w:ascii="思源黑体 CN Heavy" w:hAnsi="思源黑体 CN Heavy" w:eastAsia="思源黑体 CN Heavy" w:cs="思源黑体 CN Heavy"/>
                          <w:sz w:val="52"/>
                          <w:szCs w:val="60"/>
                          <w:lang w:val="en-US" w:eastAsia="zh-CN"/>
                        </w:rPr>
                        <w:t>2025-12 第01期</w:t>
                      </w: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-601345</wp:posOffset>
                </wp:positionH>
                <wp:positionV relativeFrom="paragraph">
                  <wp:posOffset>3239135</wp:posOffset>
                </wp:positionV>
                <wp:extent cx="3453130" cy="1219835"/>
                <wp:effectExtent l="0" t="0" r="0" b="0"/>
                <wp:wrapNone/>
                <wp:docPr id="2" name="文本框 2"/>
                <wp:cNvGraphicFramePr/>
                <a:graphic xmlns:a="http://schemas.openxmlformats.org/drawingml/2006/main">
                  <a:graphicData uri="http://schemas.microsoft.com/office/word/2010/wordprocessingShape">
                    <wps:wsp>
                      <wps:cNvSpPr txBox="1"/>
                      <wps:spPr>
                        <a:xfrm>
                          <a:off x="1331595" y="2065020"/>
                          <a:ext cx="3453130" cy="1219835"/>
                        </a:xfrm>
                        <a:prstGeom prst="rect">
                          <a:avLst/>
                        </a:prstGeom>
                        <a:ln w="12700" cap="flat" cmpd="sng" algn="ctr">
                          <a:noFill/>
                          <a:prstDash val="dash"/>
                          <a:miter lim="800000"/>
                        </a:ln>
                      </wps:spPr>
                      <wps:style>
                        <a:lnRef idx="0">
                          <a:schemeClr val="accent1"/>
                        </a:lnRef>
                        <a:fillRef idx="0">
                          <a:srgbClr val="FFFFFF"/>
                        </a:fillRef>
                        <a:effectRef idx="0">
                          <a:srgbClr val="FFFFFF"/>
                        </a:effectRef>
                        <a:fontRef idx="minor">
                          <a:schemeClr val="tx1"/>
                        </a:fontRef>
                      </wps:style>
                      <wps:txbx>
                        <w:txbxContent>
                          <w:p w14:paraId="048D8115">
                            <w:pPr>
                              <w:jc w:val="left"/>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pPr>
                            <w:r>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t>学术报告</w:t>
                            </w: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threePt" dir="t"/>
                        </a:scene3d>
                      </wps:bodyPr>
                    </wps:wsp>
                  </a:graphicData>
                </a:graphic>
              </wp:anchor>
            </w:drawing>
          </mc:Choice>
          <mc:Fallback>
            <w:pict>
              <v:shape id="_x0000_s1026" o:spid="_x0000_s1026" o:spt="202" type="#_x0000_t202" style="position:absolute;left:0pt;margin-left:-47.35pt;margin-top:255.05pt;height:96.05pt;width:271.9pt;z-index:251660288;mso-width-relative:page;mso-height-relative:page;" filled="f" stroked="f" coordsize="21600,21600" o:gfxdata="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AqL/Yj2QAAAAsBAAAPAAAAAAAAAAEAIAAAACIAAABkcnMvZG93bnJldi54&#10;bWxQSwECFAAUAAAACACHTuJAZyftc6QCAAAiBQAADgAAAAAAAAABACAAAAAoAQAAZHJzL2Uyb0Rv&#10;Yy54bWxQSwUGAAAAAAYABgBZAQAAPgYAAAAA&#10;">
                <v:fill on="f" focussize="0,0"/>
                <v:stroke on="f" weight="1pt" miterlimit="8" joinstyle="miter" dashstyle="dash"/>
                <v:imagedata o:title=""/>
                <o:lock v:ext="edit" aspectratio="f"/>
                <v:textbox>
                  <w:txbxContent>
                    <w:p w14:paraId="048D8115">
                      <w:pPr>
                        <w:jc w:val="left"/>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pPr>
                      <w:r>
                        <w:rPr>
                          <w:rFonts w:hint="eastAsia" w:ascii="华文琥珀" w:hAnsi="华文琥珀" w:eastAsia="华文琥珀" w:cs="华文琥珀"/>
                          <w:sz w:val="112"/>
                          <w:szCs w:val="192"/>
                          <w:lang w:val="en-US" w:eastAsia="zh-CN"/>
                          <w14:glow w14:rad="0">
                            <w14:srgbClr w14:val="000000"/>
                          </w14:glow>
                          <w14:reflection w14:blurRad="0" w14:stA="0" w14:stPos="0" w14:endA="0" w14:endPos="0" w14:dist="0" w14:dir="0" w14:fadeDir="0" w14:sx="0" w14:sy="0" w14:kx="0" w14:ky="0" w14:algn="none"/>
                          <w14:textFill>
                            <w14:gradFill>
                              <w14:gsLst>
                                <w14:gs w14:pos="0">
                                  <w14:srgbClr w14:val="13AFFF"/>
                                </w14:gs>
                                <w14:gs w14:pos="67000">
                                  <w14:srgbClr w14:val="FF3131">
                                    <w14:alpha w14:val="0"/>
                                  </w14:srgbClr>
                                </w14:gs>
                                <w14:gs w14:pos="100000">
                                  <w14:srgbClr w14:val="F2FF5F"/>
                                </w14:gs>
                              </w14:gsLst>
                              <w14:lin w14:ang="2700000" w14:scaled="0"/>
                            </w14:gradFill>
                          </w14:textFill>
                          <w14:props3d w14:extrusionH="0" w14:contourW="0" w14:prstMaterial="clear"/>
                        </w:rPr>
                        <w:t>学术报告</w:t>
                      </w:r>
                    </w:p>
                  </w:txbxContent>
                </v:textbox>
              </v:shape>
            </w:pict>
          </mc:Fallback>
        </mc:AlternateContent>
      </w:r>
      <w:r>
        <w:rPr>
          <w:rFonts w:hint="eastAsia" w:eastAsiaTheme="minorEastAsia"/>
          <w:lang w:eastAsia="zh-CN"/>
        </w:rPr>
        <w:drawing>
          <wp:anchor distT="0" distB="0" distL="114300" distR="114300" simplePos="0" relativeHeight="251659264" behindDoc="1" locked="0" layoutInCell="1" allowOverlap="1">
            <wp:simplePos x="0" y="0"/>
            <wp:positionH relativeFrom="column">
              <wp:posOffset>-1195070</wp:posOffset>
            </wp:positionH>
            <wp:positionV relativeFrom="paragraph">
              <wp:posOffset>-934085</wp:posOffset>
            </wp:positionV>
            <wp:extent cx="7711440" cy="10909300"/>
            <wp:effectExtent l="0" t="0" r="10160" b="0"/>
            <wp:wrapNone/>
            <wp:docPr id="1" name="图片 1" descr="封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封面图"/>
                    <pic:cNvPicPr>
                      <a:picLocks noChangeAspect="1"/>
                    </pic:cNvPicPr>
                  </pic:nvPicPr>
                  <pic:blipFill>
                    <a:blip r:embed="rId7"/>
                    <a:stretch>
                      <a:fillRect/>
                    </a:stretch>
                  </pic:blipFill>
                  <pic:spPr>
                    <a:xfrm>
                      <a:off x="0" y="0"/>
                      <a:ext cx="7711440" cy="10909300"/>
                    </a:xfrm>
                    <a:prstGeom prst="rect">
                      <a:avLst/>
                    </a:prstGeom>
                  </pic:spPr>
                </pic:pic>
              </a:graphicData>
            </a:graphic>
          </wp:anchor>
        </w:drawing>
      </w:r>
    </w:p>
    <w:p w14:paraId="58E85863">
      <w:pPr>
        <w:pStyle w:val="2"/>
        <w:keepNext w:val="0"/>
        <w:keepLines w:val="0"/>
        <w:widowControl/>
        <w:suppressLineNumbers w:val="0"/>
        <w:spacing w:line="360" w:lineRule="auto"/>
        <w:jc w:val="center"/>
        <w:rPr>
          <w:rFonts w:ascii="Times New Roman" w:hAnsi="Times New Roman" w:eastAsia="宋体"/>
          <w:sz w:val="32"/>
          <w:szCs w:val="32"/>
        </w:rPr>
        <w:sectPr>
          <w:headerReference r:id="rId3" w:type="default"/>
          <w:footerReference r:id="rId4" w:type="default"/>
          <w:pgSz w:w="11906" w:h="16838"/>
          <w:pgMar w:top="1440" w:right="1800" w:bottom="1440" w:left="1800" w:header="851" w:footer="992" w:gutter="0"/>
          <w:pgNumType w:fmt="decimal" w:start="1"/>
          <w:cols w:space="720" w:num="1"/>
          <w:docGrid w:type="lines" w:linePitch="312" w:charSpace="0"/>
        </w:sectPr>
      </w:pPr>
    </w:p>
    <w:p w14:paraId="42713E4B">
      <w:pPr>
        <w:pStyle w:val="2"/>
        <w:keepNext w:val="0"/>
        <w:keepLines w:val="0"/>
        <w:widowControl/>
        <w:suppressLineNumbers w:val="0"/>
        <w:spacing w:line="360" w:lineRule="auto"/>
        <w:jc w:val="center"/>
        <w:rPr>
          <w:rFonts w:ascii="Times New Roman" w:hAnsi="Times New Roman" w:eastAsia="宋体"/>
          <w:sz w:val="32"/>
          <w:szCs w:val="32"/>
        </w:rPr>
      </w:pPr>
      <w:r>
        <w:rPr>
          <w:rFonts w:ascii="Times New Roman" w:hAnsi="Times New Roman" w:eastAsia="宋体"/>
          <w:sz w:val="32"/>
          <w:szCs w:val="32"/>
        </w:rPr>
        <w:t>生成式人工智能引发的版权争议与深度伪造技术的伦理治理研究</w:t>
      </w:r>
      <w:bookmarkEnd w:id="0"/>
    </w:p>
    <w:p w14:paraId="0000000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2" w:firstLineChars="200"/>
        <w:textAlignment w:val="auto"/>
        <w:rPr>
          <w:rFonts w:ascii="Times New Roman" w:hAnsi="Times New Roman" w:eastAsia="宋体" w:cs="Google Sans Text"/>
          <w:color w:val="1F1F1F"/>
          <w:sz w:val="24"/>
          <w:rtl w:val="0"/>
        </w:rPr>
      </w:pPr>
      <w:r>
        <w:rPr>
          <w:rFonts w:hint="eastAsia" w:ascii="宋体" w:hAnsi="宋体" w:eastAsia="宋体" w:cs="宋体"/>
          <w:b/>
          <w:bCs/>
          <w:color w:val="1F1F1F"/>
          <w:sz w:val="24"/>
          <w:rtl w:val="0"/>
          <w:lang w:val="en-US" w:eastAsia="zh-CN"/>
        </w:rPr>
        <w:t>[摘要]</w:t>
      </w:r>
      <w:r>
        <w:rPr>
          <w:rFonts w:ascii="Times New Roman" w:hAnsi="Times New Roman" w:eastAsia="宋体" w:cs="Google Sans Text"/>
          <w:color w:val="1F1F1F"/>
          <w:sz w:val="24"/>
          <w:rtl w:val="0"/>
        </w:rPr>
        <w:t>随着以</w:t>
      </w:r>
      <w:r>
        <w:rPr>
          <w:rFonts w:hint="eastAsia" w:ascii="Times New Roman" w:hAnsi="Times New Roman" w:cs="Google Sans Text"/>
          <w:color w:val="1F1F1F"/>
          <w:sz w:val="24"/>
          <w:rtl w:val="0"/>
          <w:lang w:val="en-US" w:eastAsia="zh-CN"/>
        </w:rPr>
        <w:t>DeepSeek、豆包、</w:t>
      </w:r>
      <w:r>
        <w:rPr>
          <w:rFonts w:ascii="Times New Roman" w:hAnsi="Times New Roman" w:eastAsia="宋体" w:cs="Google Sans Text"/>
          <w:color w:val="1F1F1F"/>
          <w:sz w:val="24"/>
          <w:rtl w:val="0"/>
        </w:rPr>
        <w:t>ChatGPT、Sora为代表的生成式人工智能（AIGC）技术的爆发式增长，计算机科学正在经历从“</w:t>
      </w:r>
      <w:r>
        <w:rPr>
          <w:rFonts w:hint="eastAsia" w:ascii="Times New Roman" w:hAnsi="Times New Roman" w:cs="Google Sans Text"/>
          <w:color w:val="1F1F1F"/>
          <w:sz w:val="24"/>
          <w:rtl w:val="0"/>
          <w:lang w:val="en-US" w:eastAsia="zh-CN"/>
        </w:rPr>
        <w:t>AI工具辅助</w:t>
      </w:r>
      <w:r>
        <w:rPr>
          <w:rFonts w:ascii="Times New Roman" w:hAnsi="Times New Roman" w:eastAsia="宋体" w:cs="Google Sans Text"/>
          <w:color w:val="1F1F1F"/>
          <w:sz w:val="24"/>
          <w:rtl w:val="0"/>
        </w:rPr>
        <w:t>”向“</w:t>
      </w:r>
      <w:r>
        <w:rPr>
          <w:rFonts w:hint="eastAsia" w:ascii="Times New Roman" w:hAnsi="Times New Roman" w:cs="Google Sans Text"/>
          <w:color w:val="1F1F1F"/>
          <w:sz w:val="24"/>
          <w:rtl w:val="0"/>
          <w:lang w:val="en-US" w:eastAsia="zh-CN"/>
        </w:rPr>
        <w:t>AI</w:t>
      </w:r>
      <w:r>
        <w:rPr>
          <w:rFonts w:ascii="Times New Roman" w:hAnsi="Times New Roman" w:eastAsia="宋体" w:cs="Google Sans Text"/>
          <w:color w:val="1F1F1F"/>
          <w:sz w:val="24"/>
          <w:rtl w:val="0"/>
        </w:rPr>
        <w:t>内容生成”的范式转变。然而，</w:t>
      </w:r>
      <w:r>
        <w:rPr>
          <w:rFonts w:hint="eastAsia" w:ascii="Times New Roman" w:hAnsi="Times New Roman" w:cs="Google Sans Text"/>
          <w:color w:val="1F1F1F"/>
          <w:sz w:val="24"/>
          <w:rtl w:val="0"/>
          <w:lang w:val="en-US" w:eastAsia="zh-CN"/>
        </w:rPr>
        <w:t>这项</w:t>
      </w:r>
      <w:r>
        <w:rPr>
          <w:rFonts w:ascii="Times New Roman" w:hAnsi="Times New Roman" w:eastAsia="宋体" w:cs="Google Sans Text"/>
          <w:color w:val="1F1F1F"/>
          <w:sz w:val="24"/>
          <w:rtl w:val="0"/>
        </w:rPr>
        <w:t>技术是一把双刃剑，AIGC在极大提升内容生产效率的同时也引发了</w:t>
      </w:r>
      <w:r>
        <w:rPr>
          <w:rFonts w:hint="eastAsia" w:ascii="Times New Roman" w:hAnsi="Times New Roman" w:cs="Google Sans Text"/>
          <w:color w:val="1F1F1F"/>
          <w:sz w:val="24"/>
          <w:rtl w:val="0"/>
          <w:lang w:val="en-US" w:eastAsia="zh-CN"/>
        </w:rPr>
        <w:t>全新</w:t>
      </w:r>
      <w:r>
        <w:rPr>
          <w:rFonts w:ascii="Times New Roman" w:hAnsi="Times New Roman" w:eastAsia="宋体" w:cs="Google Sans Text"/>
          <w:color w:val="1F1F1F"/>
          <w:sz w:val="24"/>
          <w:rtl w:val="0"/>
        </w:rPr>
        <w:t>的伦理与法律</w:t>
      </w:r>
      <w:r>
        <w:rPr>
          <w:rFonts w:hint="eastAsia" w:ascii="Times New Roman" w:hAnsi="Times New Roman" w:cs="Google Sans Text"/>
          <w:color w:val="1F1F1F"/>
          <w:sz w:val="24"/>
          <w:rtl w:val="0"/>
          <w:lang w:val="en-US" w:eastAsia="zh-CN"/>
        </w:rPr>
        <w:t>问题和危机</w:t>
      </w:r>
      <w:r>
        <w:rPr>
          <w:rFonts w:ascii="Times New Roman" w:hAnsi="Times New Roman" w:eastAsia="宋体" w:cs="Google Sans Text"/>
          <w:color w:val="1F1F1F"/>
          <w:sz w:val="24"/>
          <w:rtl w:val="0"/>
        </w:rPr>
        <w:t>。本文</w:t>
      </w:r>
      <w:r>
        <w:rPr>
          <w:rFonts w:hint="eastAsia" w:ascii="Times New Roman" w:hAnsi="Times New Roman" w:cs="Google Sans Text"/>
          <w:color w:val="1F1F1F"/>
          <w:sz w:val="24"/>
          <w:rtl w:val="0"/>
          <w:lang w:val="en-US" w:eastAsia="zh-CN"/>
        </w:rPr>
        <w:t>以</w:t>
      </w:r>
      <w:r>
        <w:rPr>
          <w:rFonts w:ascii="Times New Roman" w:hAnsi="Times New Roman" w:eastAsia="宋体" w:cs="Google Sans Text"/>
          <w:color w:val="1F1F1F"/>
          <w:sz w:val="24"/>
          <w:rtl w:val="0"/>
        </w:rPr>
        <w:t>计算机科学</w:t>
      </w:r>
      <w:r>
        <w:rPr>
          <w:rFonts w:hint="eastAsia" w:ascii="Times New Roman" w:hAnsi="Times New Roman" w:cs="Google Sans Text"/>
          <w:color w:val="1F1F1F"/>
          <w:sz w:val="24"/>
          <w:rtl w:val="0"/>
          <w:lang w:val="en-US" w:eastAsia="zh-CN"/>
        </w:rPr>
        <w:t>与技术的</w:t>
      </w:r>
      <w:r>
        <w:rPr>
          <w:rFonts w:ascii="Times New Roman" w:hAnsi="Times New Roman" w:eastAsia="宋体" w:cs="Google Sans Text"/>
          <w:color w:val="1F1F1F"/>
          <w:sz w:val="24"/>
          <w:rtl w:val="0"/>
        </w:rPr>
        <w:t>专业视角，结合《计算机科学导论》第19章关于社会问题与专业实践的理论框架，重点探讨了AIGC生成内容的版权归属困境以及深度伪造（Deepfake）技术滥用所带来的社会信任危机。旨在为构建负责任的人工智能生态提供理论参考。</w:t>
      </w:r>
    </w:p>
    <w:p w14:paraId="306B7EC2">
      <w:pPr>
        <w:keepNext w:val="0"/>
        <w:keepLines w:val="0"/>
        <w:pageBreakBefore w:val="0"/>
        <w:widowControl w:val="0"/>
        <w:kinsoku/>
        <w:wordWrap/>
        <w:overflowPunct/>
        <w:topLinePunct w:val="0"/>
        <w:autoSpaceDE w:val="0"/>
        <w:autoSpaceDN w:val="0"/>
        <w:bidi w:val="0"/>
        <w:adjustRightInd/>
        <w:snapToGrid/>
        <w:spacing w:beforeAutospacing="0" w:afterAutospacing="0" w:line="360" w:lineRule="auto"/>
        <w:ind w:firstLine="482" w:firstLineChars="200"/>
        <w:jc w:val="left"/>
        <w:textAlignment w:val="auto"/>
        <w:rPr>
          <w:rFonts w:hint="eastAsia" w:ascii="Times New Roman" w:hAnsi="Times New Roman" w:eastAsia="宋体" w:cs="宋体"/>
          <w:b/>
          <w:bCs/>
          <w:kern w:val="0"/>
          <w:sz w:val="24"/>
          <w:szCs w:val="24"/>
        </w:rPr>
      </w:pPr>
      <w:r>
        <w:rPr>
          <w:rFonts w:hint="eastAsia" w:ascii="Times New Roman" w:hAnsi="Times New Roman" w:eastAsia="宋体" w:cs="宋体"/>
          <w:b/>
          <w:bCs/>
          <w:kern w:val="0"/>
          <w:sz w:val="24"/>
          <w:szCs w:val="24"/>
        </w:rPr>
        <w:t>关键词： AIGC；深度伪造；知识产权；计算机伦理；算法治理</w:t>
      </w:r>
    </w:p>
    <w:p w14:paraId="0749E550">
      <w:pPr>
        <w:keepNext w:val="0"/>
        <w:keepLines w:val="0"/>
        <w:pageBreakBefore w:val="0"/>
        <w:widowControl w:val="0"/>
        <w:kinsoku/>
        <w:wordWrap/>
        <w:overflowPunct w:val="0"/>
        <w:topLinePunct w:val="0"/>
        <w:autoSpaceDE w:val="0"/>
        <w:autoSpaceDN w:val="0"/>
        <w:bidi w:val="0"/>
        <w:adjustRightInd/>
        <w:snapToGrid/>
        <w:spacing w:beforeAutospacing="0" w:afterAutospacing="0" w:line="360" w:lineRule="auto"/>
        <w:ind w:firstLine="482" w:firstLineChars="200"/>
        <w:jc w:val="center"/>
        <w:textAlignment w:val="auto"/>
        <w:rPr>
          <w:rFonts w:hint="eastAsia" w:ascii="Times New Roman" w:hAnsi="Times New Roman" w:eastAsia="宋体" w:cs="Times New Roman"/>
          <w:b/>
          <w:bCs/>
          <w:kern w:val="0"/>
          <w:sz w:val="24"/>
          <w:szCs w:val="24"/>
        </w:rPr>
      </w:pPr>
      <w:r>
        <w:rPr>
          <w:rFonts w:hint="eastAsia" w:ascii="Times New Roman" w:hAnsi="Times New Roman" w:eastAsia="宋体" w:cs="Times New Roman"/>
          <w:b/>
          <w:bCs/>
          <w:kern w:val="0"/>
          <w:sz w:val="24"/>
          <w:szCs w:val="24"/>
        </w:rPr>
        <w:t>Research on Copyright Disputes Caused by Generative Artificial Intelligence and Ethical Governance of Deepfake Technology</w:t>
      </w:r>
    </w:p>
    <w:p w14:paraId="7BAE0B60">
      <w:pPr>
        <w:keepNext w:val="0"/>
        <w:keepLines w:val="0"/>
        <w:pageBreakBefore w:val="0"/>
        <w:widowControl w:val="0"/>
        <w:kinsoku/>
        <w:wordWrap/>
        <w:overflowPunct w:val="0"/>
        <w:topLinePunct w:val="0"/>
        <w:autoSpaceDE w:val="0"/>
        <w:autoSpaceDN w:val="0"/>
        <w:bidi w:val="0"/>
        <w:adjustRightInd/>
        <w:snapToGrid/>
        <w:spacing w:beforeAutospacing="0" w:afterAutospacing="0" w:line="360" w:lineRule="auto"/>
        <w:ind w:firstLine="482" w:firstLineChars="200"/>
        <w:jc w:val="both"/>
        <w:textAlignment w:val="auto"/>
        <w:rPr>
          <w:rFonts w:hint="default" w:ascii="Times New Roman" w:hAnsi="Times New Roman" w:eastAsia="宋体" w:cs="Times New Roman"/>
          <w:b w:val="0"/>
          <w:bCs w:val="0"/>
          <w:kern w:val="0"/>
          <w:sz w:val="24"/>
          <w:szCs w:val="24"/>
        </w:rPr>
      </w:pPr>
      <w:r>
        <w:rPr>
          <w:rFonts w:hint="default" w:ascii="Times New Roman" w:hAnsi="Times New Roman" w:eastAsia="宋体" w:cs="Times New Roman"/>
          <w:b/>
          <w:bCs/>
          <w:kern w:val="0"/>
          <w:sz w:val="24"/>
          <w:szCs w:val="24"/>
        </w:rPr>
        <w:t xml:space="preserve">[Abstract] </w:t>
      </w:r>
      <w:r>
        <w:rPr>
          <w:rFonts w:hint="default" w:ascii="Times New Roman" w:hAnsi="Times New Roman" w:eastAsia="宋体" w:cs="Times New Roman"/>
          <w:b w:val="0"/>
          <w:bCs w:val="0"/>
          <w:kern w:val="0"/>
          <w:sz w:val="24"/>
          <w:szCs w:val="24"/>
        </w:rPr>
        <w:t xml:space="preserve">With the explosive growth of generative artificial intelligence (AIGC) technologies represented by </w:t>
      </w:r>
      <w:r>
        <w:rPr>
          <w:rFonts w:hint="eastAsia" w:ascii="Times New Roman" w:hAnsi="Times New Roman" w:eastAsia="宋体" w:cs="Times New Roman"/>
          <w:b w:val="0"/>
          <w:bCs w:val="0"/>
          <w:kern w:val="0"/>
          <w:sz w:val="24"/>
          <w:szCs w:val="24"/>
          <w:lang w:val="en-US" w:eastAsia="zh-CN"/>
        </w:rPr>
        <w:t>DeepSeek，DouBao,</w:t>
      </w:r>
      <w:r>
        <w:rPr>
          <w:rFonts w:hint="default" w:ascii="Times New Roman" w:hAnsi="Times New Roman" w:eastAsia="宋体" w:cs="Times New Roman"/>
          <w:b w:val="0"/>
          <w:bCs w:val="0"/>
          <w:kern w:val="0"/>
          <w:sz w:val="24"/>
          <w:szCs w:val="24"/>
        </w:rPr>
        <w:t xml:space="preserve">ChatGPT and Sora, computer science is undergoing a paradigm shift from "tool assistance" to "content generation". However, </w:t>
      </w:r>
      <w:r>
        <w:rPr>
          <w:rFonts w:hint="eastAsia" w:ascii="Times New Roman" w:hAnsi="Times New Roman" w:cs="Times New Roman"/>
          <w:b w:val="0"/>
          <w:bCs w:val="0"/>
          <w:kern w:val="0"/>
          <w:sz w:val="24"/>
          <w:szCs w:val="24"/>
          <w:lang w:val="en-US" w:eastAsia="zh-CN"/>
        </w:rPr>
        <w:t xml:space="preserve">the </w:t>
      </w:r>
      <w:r>
        <w:rPr>
          <w:rFonts w:hint="default" w:ascii="Times New Roman" w:hAnsi="Times New Roman" w:eastAsia="宋体" w:cs="Times New Roman"/>
          <w:b w:val="0"/>
          <w:bCs w:val="0"/>
          <w:kern w:val="0"/>
          <w:sz w:val="24"/>
          <w:szCs w:val="24"/>
        </w:rPr>
        <w:t>technology is a double-edged sword. While AIGC has greatly improved content production efficiency, it has also triggered unprecedented ethical and legal crises. From the perspective of computer science and technology, this paper, based on the theoretical framework of social issues and professional practice in Chapter 19 of "Introduction to Computer Science", focuses on exploring the dilemma of copyright ownership of AIGC-generated content and the social trust crisis caused by the abuse of deepfake technology. It aims to provide theoretical references for building a responsible AI ecosystem.</w:t>
      </w:r>
    </w:p>
    <w:p w14:paraId="1FD2568A">
      <w:pPr>
        <w:keepNext w:val="0"/>
        <w:keepLines w:val="0"/>
        <w:pageBreakBefore w:val="0"/>
        <w:widowControl w:val="0"/>
        <w:kinsoku/>
        <w:wordWrap/>
        <w:overflowPunct/>
        <w:topLinePunct w:val="0"/>
        <w:autoSpaceDE w:val="0"/>
        <w:autoSpaceDN w:val="0"/>
        <w:bidi w:val="0"/>
        <w:adjustRightInd/>
        <w:snapToGrid/>
        <w:spacing w:beforeAutospacing="0" w:afterAutospacing="0" w:line="360" w:lineRule="auto"/>
        <w:ind w:firstLine="482" w:firstLineChars="200"/>
        <w:jc w:val="both"/>
        <w:textAlignment w:val="auto"/>
        <w:rPr>
          <w:rFonts w:hint="default" w:ascii="Times New Roman" w:hAnsi="Times New Roman" w:eastAsia="宋体" w:cs="宋体"/>
          <w:b/>
          <w:bCs/>
          <w:kern w:val="0"/>
          <w:sz w:val="24"/>
          <w:szCs w:val="24"/>
        </w:rPr>
      </w:pPr>
      <w:r>
        <w:rPr>
          <w:rFonts w:hint="default" w:ascii="Times New Roman" w:hAnsi="Times New Roman" w:eastAsia="宋体" w:cs="宋体"/>
          <w:b/>
          <w:bCs/>
          <w:kern w:val="0"/>
          <w:sz w:val="24"/>
          <w:szCs w:val="24"/>
        </w:rPr>
        <w:t>Keywords: AIGC; deepfakes; intellectual property right Computer ethics; algorithm governance</w:t>
      </w:r>
    </w:p>
    <w:p w14:paraId="1ED15BE5">
      <w:pPr>
        <w:rPr>
          <w:rFonts w:hint="default" w:ascii="Times New Roman" w:hAnsi="Times New Roman" w:eastAsia="宋体" w:cs="宋体"/>
          <w:b/>
          <w:bCs/>
          <w:kern w:val="0"/>
          <w:sz w:val="24"/>
          <w:szCs w:val="24"/>
        </w:rPr>
      </w:pPr>
      <w:r>
        <w:rPr>
          <w:rFonts w:hint="default" w:ascii="Times New Roman" w:hAnsi="Times New Roman" w:eastAsia="宋体" w:cs="宋体"/>
          <w:b/>
          <w:bCs/>
          <w:kern w:val="0"/>
          <w:sz w:val="24"/>
          <w:szCs w:val="24"/>
        </w:rPr>
        <w:br w:type="page"/>
      </w:r>
    </w:p>
    <w:p w14:paraId="471FAE00">
      <w:pPr>
        <w:keepNext w:val="0"/>
        <w:keepLines w:val="0"/>
        <w:pageBreakBefore w:val="0"/>
        <w:widowControl w:val="0"/>
        <w:kinsoku/>
        <w:wordWrap/>
        <w:overflowPunct/>
        <w:topLinePunct w:val="0"/>
        <w:autoSpaceDE w:val="0"/>
        <w:autoSpaceDN w:val="0"/>
        <w:bidi w:val="0"/>
        <w:adjustRightInd/>
        <w:snapToGrid/>
        <w:spacing w:beforeAutospacing="0" w:afterAutospacing="0" w:line="360" w:lineRule="auto"/>
        <w:ind w:firstLine="482" w:firstLineChars="200"/>
        <w:jc w:val="left"/>
        <w:textAlignment w:val="auto"/>
        <w:rPr>
          <w:rFonts w:hint="default" w:ascii="Times New Roman" w:hAnsi="Times New Roman" w:eastAsia="宋体" w:cs="宋体"/>
          <w:b/>
          <w:bCs/>
          <w:kern w:val="0"/>
          <w:sz w:val="24"/>
          <w:szCs w:val="24"/>
          <w:rtl w:val="0"/>
        </w:rPr>
      </w:pPr>
    </w:p>
    <w:sdt>
      <w:sdtPr>
        <w:rPr>
          <w:rFonts w:ascii="宋体" w:hAnsi="宋体" w:eastAsia="宋体" w:cs="Times New Roman"/>
          <w:kern w:val="2"/>
          <w:sz w:val="32"/>
          <w:szCs w:val="32"/>
          <w:lang w:val="en-US" w:eastAsia="zh-CN" w:bidi="ar-SA"/>
        </w:rPr>
        <w:id w:val="147457515"/>
        <w15:color w:val="DBDBDB"/>
        <w:docPartObj>
          <w:docPartGallery w:val="Table of Contents"/>
          <w:docPartUnique/>
        </w:docPartObj>
      </w:sdtPr>
      <w:sdtEndPr>
        <w:rPr>
          <w:rFonts w:ascii="Times New Roman" w:hAnsi="Times New Roman" w:eastAsia="宋体" w:cs="Times New Roman"/>
          <w:kern w:val="2"/>
          <w:sz w:val="24"/>
          <w:szCs w:val="24"/>
          <w:lang w:val="en-US" w:eastAsia="zh-CN" w:bidi="ar-SA"/>
        </w:rPr>
      </w:sdtEndPr>
      <w:sdtContent>
        <w:p w14:paraId="7EBE5D90">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rFonts w:ascii="Times New Roman" w:hAnsi="Times New Roman"/>
              <w:sz w:val="24"/>
            </w:rPr>
          </w:pPr>
          <w:r>
            <w:rPr>
              <w:rFonts w:ascii="Times New Roman" w:hAnsi="Times New Roman" w:eastAsia="宋体"/>
              <w:sz w:val="32"/>
              <w:szCs w:val="32"/>
            </w:rPr>
            <w:t>目录</w:t>
          </w: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TOC \o "1-3" \h \u </w:instrText>
          </w:r>
          <w:r>
            <w:rPr>
              <w:rFonts w:ascii="Times New Roman" w:hAnsi="Times New Roman" w:eastAsia="宋体" w:cs="Times New Roman"/>
              <w:kern w:val="2"/>
              <w:sz w:val="24"/>
              <w:szCs w:val="24"/>
              <w:lang w:val="en-US" w:eastAsia="zh-CN" w:bidi="ar-SA"/>
            </w:rPr>
            <w:fldChar w:fldCharType="separate"/>
          </w:r>
        </w:p>
        <w:p w14:paraId="5A653D14">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_Toc13390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1. 引言</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_Toc13390 \h </w:instrText>
          </w:r>
          <w:r>
            <w:rPr>
              <w:rFonts w:ascii="Times New Roman" w:hAnsi="Times New Roman"/>
              <w:sz w:val="24"/>
            </w:rPr>
            <w:fldChar w:fldCharType="separate"/>
          </w:r>
          <w:r>
            <w:rPr>
              <w:rFonts w:ascii="Times New Roman" w:hAnsi="Times New Roman"/>
              <w:sz w:val="24"/>
            </w:rPr>
            <w:t>3</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156E7BDA">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_Toc16407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2. AIGC时代的知识产权新挑战</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_Toc16407 \h </w:instrText>
          </w:r>
          <w:r>
            <w:rPr>
              <w:rFonts w:ascii="Times New Roman" w:hAnsi="Times New Roman"/>
              <w:sz w:val="24"/>
            </w:rPr>
            <w:fldChar w:fldCharType="separate"/>
          </w:r>
          <w:r>
            <w:rPr>
              <w:rFonts w:ascii="Times New Roman" w:hAnsi="Times New Roman"/>
              <w:sz w:val="24"/>
            </w:rPr>
            <w:t>3</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2C297408">
          <w:pPr>
            <w:pStyle w:val="6"/>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_Toc28319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2.1 生成式AI的技术原理与版权归属悖论</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_Toc28319 \h </w:instrText>
          </w:r>
          <w:r>
            <w:rPr>
              <w:rFonts w:ascii="Times New Roman" w:hAnsi="Times New Roman"/>
              <w:sz w:val="24"/>
            </w:rPr>
            <w:fldChar w:fldCharType="separate"/>
          </w:r>
          <w:r>
            <w:rPr>
              <w:rFonts w:ascii="Times New Roman" w:hAnsi="Times New Roman"/>
              <w:sz w:val="24"/>
            </w:rPr>
            <w:t>3</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49552915">
          <w:pPr>
            <w:pStyle w:val="6"/>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_Toc15372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2.2 司法实践中的突破：从“AI文生图”第一案看独创性认定</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_Toc15372 \h </w:instrText>
          </w:r>
          <w:r>
            <w:rPr>
              <w:rFonts w:ascii="Times New Roman" w:hAnsi="Times New Roman"/>
              <w:sz w:val="24"/>
            </w:rPr>
            <w:fldChar w:fldCharType="separate"/>
          </w:r>
          <w:r>
            <w:rPr>
              <w:rFonts w:ascii="Times New Roman" w:hAnsi="Times New Roman"/>
              <w:sz w:val="24"/>
            </w:rPr>
            <w:t>4</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4586E814">
          <w:pPr>
            <w:pStyle w:val="6"/>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_Toc7335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2.3 训练数据获取中的侵权风险分析</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_Toc7335 \h </w:instrText>
          </w:r>
          <w:r>
            <w:rPr>
              <w:rFonts w:ascii="Times New Roman" w:hAnsi="Times New Roman"/>
              <w:sz w:val="24"/>
            </w:rPr>
            <w:fldChar w:fldCharType="separate"/>
          </w:r>
          <w:r>
            <w:rPr>
              <w:rFonts w:ascii="Times New Roman" w:hAnsi="Times New Roman"/>
              <w:sz w:val="24"/>
            </w:rPr>
            <w:t>4</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3ACB9DC6">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_Toc25692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3. 深度伪造技术的滥用与社会危害</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_Toc25692 \h </w:instrText>
          </w:r>
          <w:r>
            <w:rPr>
              <w:rFonts w:ascii="Times New Roman" w:hAnsi="Times New Roman"/>
              <w:sz w:val="24"/>
            </w:rPr>
            <w:fldChar w:fldCharType="separate"/>
          </w:r>
          <w:r>
            <w:rPr>
              <w:rFonts w:ascii="Times New Roman" w:hAnsi="Times New Roman"/>
              <w:sz w:val="24"/>
            </w:rPr>
            <w:t>5</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5CB97249">
          <w:pPr>
            <w:pStyle w:val="6"/>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_Toc17435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3.1 深度伪造的技术原理与应用双面性</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_Toc17435 \h </w:instrText>
          </w:r>
          <w:r>
            <w:rPr>
              <w:rFonts w:ascii="Times New Roman" w:hAnsi="Times New Roman"/>
              <w:sz w:val="24"/>
            </w:rPr>
            <w:fldChar w:fldCharType="separate"/>
          </w:r>
          <w:r>
            <w:rPr>
              <w:rFonts w:ascii="Times New Roman" w:hAnsi="Times New Roman"/>
              <w:sz w:val="24"/>
            </w:rPr>
            <w:t>5</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578EA3A5">
          <w:pPr>
            <w:pStyle w:val="6"/>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_Toc26101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3.2 隐私权侵犯与信任危机</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_Toc26101 \h </w:instrText>
          </w:r>
          <w:r>
            <w:rPr>
              <w:rFonts w:ascii="Times New Roman" w:hAnsi="Times New Roman"/>
              <w:sz w:val="24"/>
            </w:rPr>
            <w:fldChar w:fldCharType="separate"/>
          </w:r>
          <w:r>
            <w:rPr>
              <w:rFonts w:ascii="Times New Roman" w:hAnsi="Times New Roman"/>
              <w:sz w:val="24"/>
            </w:rPr>
            <w:t>5</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5F80253D">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_Toc19474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4. 计算机伦理视角下的问题剖析</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_Toc19474 \h </w:instrText>
          </w:r>
          <w:r>
            <w:rPr>
              <w:rFonts w:ascii="Times New Roman" w:hAnsi="Times New Roman"/>
              <w:sz w:val="24"/>
            </w:rPr>
            <w:fldChar w:fldCharType="separate"/>
          </w:r>
          <w:r>
            <w:rPr>
              <w:rFonts w:ascii="Times New Roman" w:hAnsi="Times New Roman"/>
              <w:sz w:val="24"/>
            </w:rPr>
            <w:t>6</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605051A5">
          <w:pPr>
            <w:pStyle w:val="6"/>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_Toc18922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4.1 职业道德与技术中立的伦理困境</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_Toc18922 \h </w:instrText>
          </w:r>
          <w:r>
            <w:rPr>
              <w:rFonts w:ascii="Times New Roman" w:hAnsi="Times New Roman"/>
              <w:sz w:val="24"/>
            </w:rPr>
            <w:fldChar w:fldCharType="separate"/>
          </w:r>
          <w:r>
            <w:rPr>
              <w:rFonts w:ascii="Times New Roman" w:hAnsi="Times New Roman"/>
              <w:sz w:val="24"/>
            </w:rPr>
            <w:t>6</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08C4E2BC">
          <w:pPr>
            <w:pStyle w:val="6"/>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_Toc17991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4.2 基于ACM规范的伦理审视</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_Toc17991 \h </w:instrText>
          </w:r>
          <w:r>
            <w:rPr>
              <w:rFonts w:ascii="Times New Roman" w:hAnsi="Times New Roman"/>
              <w:sz w:val="24"/>
            </w:rPr>
            <w:fldChar w:fldCharType="separate"/>
          </w:r>
          <w:r>
            <w:rPr>
              <w:rFonts w:ascii="Times New Roman" w:hAnsi="Times New Roman"/>
              <w:sz w:val="24"/>
            </w:rPr>
            <w:t>6</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5B6CBB2E">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_Toc7221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5. 治理对策与技术解决方案</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_Toc7221 \h </w:instrText>
          </w:r>
          <w:r>
            <w:rPr>
              <w:rFonts w:ascii="Times New Roman" w:hAnsi="Times New Roman"/>
              <w:sz w:val="24"/>
            </w:rPr>
            <w:fldChar w:fldCharType="separate"/>
          </w:r>
          <w:r>
            <w:rPr>
              <w:rFonts w:ascii="Times New Roman" w:hAnsi="Times New Roman"/>
              <w:sz w:val="24"/>
            </w:rPr>
            <w:t>7</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2BA88628">
          <w:pPr>
            <w:pStyle w:val="6"/>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_Toc29513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5.1 法律法规的适应性修订</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_Toc29513 \h </w:instrText>
          </w:r>
          <w:r>
            <w:rPr>
              <w:rFonts w:ascii="Times New Roman" w:hAnsi="Times New Roman"/>
              <w:sz w:val="24"/>
            </w:rPr>
            <w:fldChar w:fldCharType="separate"/>
          </w:r>
          <w:r>
            <w:rPr>
              <w:rFonts w:ascii="Times New Roman" w:hAnsi="Times New Roman"/>
              <w:sz w:val="24"/>
            </w:rPr>
            <w:t>7</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7FA76CFC">
          <w:pPr>
            <w:pStyle w:val="6"/>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_Toc30112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5.2 “用技术治理技术”的路径探索</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_Toc30112 \h </w:instrText>
          </w:r>
          <w:r>
            <w:rPr>
              <w:rFonts w:ascii="Times New Roman" w:hAnsi="Times New Roman"/>
              <w:sz w:val="24"/>
            </w:rPr>
            <w:fldChar w:fldCharType="separate"/>
          </w:r>
          <w:r>
            <w:rPr>
              <w:rFonts w:ascii="Times New Roman" w:hAnsi="Times New Roman"/>
              <w:sz w:val="24"/>
            </w:rPr>
            <w:t>7</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60D7266A">
          <w:pPr>
            <w:pStyle w:val="6"/>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_Toc24913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5.3 提升计算机从业人员的道德素养</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_Toc24913 \h </w:instrText>
          </w:r>
          <w:r>
            <w:rPr>
              <w:rFonts w:ascii="Times New Roman" w:hAnsi="Times New Roman"/>
              <w:sz w:val="24"/>
            </w:rPr>
            <w:fldChar w:fldCharType="separate"/>
          </w:r>
          <w:r>
            <w:rPr>
              <w:rFonts w:ascii="Times New Roman" w:hAnsi="Times New Roman"/>
              <w:sz w:val="24"/>
            </w:rPr>
            <w:t>7</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7ABD34AB">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_Toc27088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6. 总结与展望</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_Toc27088 \h </w:instrText>
          </w:r>
          <w:r>
            <w:rPr>
              <w:rFonts w:ascii="Times New Roman" w:hAnsi="Times New Roman"/>
              <w:sz w:val="24"/>
            </w:rPr>
            <w:fldChar w:fldCharType="separate"/>
          </w:r>
          <w:r>
            <w:rPr>
              <w:rFonts w:ascii="Times New Roman" w:hAnsi="Times New Roman"/>
              <w:sz w:val="24"/>
            </w:rPr>
            <w:t>8</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5A109D64">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Times New Roman" w:hAnsi="Times New Roman"/>
              <w:sz w:val="24"/>
            </w:rPr>
          </w:pPr>
          <w:r>
            <w:rPr>
              <w:rFonts w:ascii="Times New Roman" w:hAnsi="Times New Roman" w:eastAsia="宋体" w:cs="Times New Roman"/>
              <w:kern w:val="2"/>
              <w:sz w:val="24"/>
              <w:szCs w:val="24"/>
              <w:lang w:val="en-US" w:eastAsia="zh-CN" w:bidi="ar-SA"/>
            </w:rPr>
            <w:fldChar w:fldCharType="begin"/>
          </w:r>
          <w:r>
            <w:rPr>
              <w:rFonts w:ascii="Times New Roman" w:hAnsi="Times New Roman" w:eastAsia="宋体" w:cs="Times New Roman"/>
              <w:kern w:val="2"/>
              <w:sz w:val="24"/>
              <w:szCs w:val="24"/>
              <w:lang w:val="en-US" w:eastAsia="zh-CN" w:bidi="ar-SA"/>
            </w:rPr>
            <w:instrText xml:space="preserve"> HYPERLINK \l _Toc17040 </w:instrText>
          </w:r>
          <w:r>
            <w:rPr>
              <w:rFonts w:ascii="Times New Roman" w:hAnsi="Times New Roman" w:eastAsia="宋体" w:cs="Times New Roman"/>
              <w:kern w:val="2"/>
              <w:sz w:val="24"/>
              <w:szCs w:val="24"/>
              <w:lang w:val="en-US" w:eastAsia="zh-CN" w:bidi="ar-SA"/>
            </w:rPr>
            <w:fldChar w:fldCharType="separate"/>
          </w:r>
          <w:r>
            <w:rPr>
              <w:rFonts w:ascii="Times New Roman" w:hAnsi="Times New Roman" w:eastAsia="宋体" w:cs="Times New Roman"/>
              <w:sz w:val="24"/>
              <w:rtl w:val="0"/>
            </w:rPr>
            <w:t>参考文献</w:t>
          </w:r>
          <w:r>
            <w:rPr>
              <w:rFonts w:ascii="Times New Roman" w:hAnsi="Times New Roman"/>
              <w:sz w:val="24"/>
            </w:rPr>
            <w:tab/>
          </w:r>
          <w:r>
            <w:rPr>
              <w:rFonts w:ascii="Times New Roman" w:hAnsi="Times New Roman"/>
              <w:sz w:val="24"/>
            </w:rPr>
            <w:fldChar w:fldCharType="begin"/>
          </w:r>
          <w:r>
            <w:rPr>
              <w:rFonts w:ascii="Times New Roman" w:hAnsi="Times New Roman"/>
              <w:sz w:val="24"/>
            </w:rPr>
            <w:instrText xml:space="preserve"> PAGEREF _Toc17040 \h </w:instrText>
          </w:r>
          <w:r>
            <w:rPr>
              <w:rFonts w:ascii="Times New Roman" w:hAnsi="Times New Roman"/>
              <w:sz w:val="24"/>
            </w:rPr>
            <w:fldChar w:fldCharType="separate"/>
          </w:r>
          <w:r>
            <w:rPr>
              <w:rFonts w:ascii="Times New Roman" w:hAnsi="Times New Roman"/>
              <w:sz w:val="24"/>
            </w:rPr>
            <w:t>8</w:t>
          </w:r>
          <w:r>
            <w:rPr>
              <w:rFonts w:ascii="Times New Roman" w:hAnsi="Times New Roman"/>
              <w:sz w:val="24"/>
            </w:rPr>
            <w:fldChar w:fldCharType="end"/>
          </w:r>
          <w:r>
            <w:rPr>
              <w:rFonts w:ascii="Times New Roman" w:hAnsi="Times New Roman" w:eastAsia="宋体" w:cs="Times New Roman"/>
              <w:kern w:val="2"/>
              <w:sz w:val="24"/>
              <w:szCs w:val="24"/>
              <w:lang w:val="en-US" w:eastAsia="zh-CN" w:bidi="ar-SA"/>
            </w:rPr>
            <w:fldChar w:fldCharType="end"/>
          </w:r>
        </w:p>
        <w:p w14:paraId="4FD99F7F">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fldChar w:fldCharType="end"/>
          </w:r>
        </w:p>
      </w:sdtContent>
    </w:sdt>
    <w:p w14:paraId="2DE64920">
      <w:pPr>
        <w:rPr>
          <w:rFonts w:ascii="Calibri" w:hAnsi="Calibri" w:eastAsia="宋体" w:cs="Times New Roman"/>
          <w:kern w:val="2"/>
          <w:sz w:val="21"/>
          <w:szCs w:val="24"/>
          <w:rtl w:val="0"/>
          <w:lang w:val="en-US" w:eastAsia="zh-CN" w:bidi="ar-SA"/>
        </w:rPr>
      </w:pPr>
      <w:r>
        <w:rPr>
          <w:rFonts w:ascii="Calibri" w:hAnsi="Calibri" w:eastAsia="宋体" w:cs="Times New Roman"/>
          <w:kern w:val="2"/>
          <w:sz w:val="21"/>
          <w:szCs w:val="24"/>
          <w:rtl w:val="0"/>
          <w:lang w:val="en-US" w:eastAsia="zh-CN" w:bidi="ar-SA"/>
        </w:rPr>
        <w:br w:type="page"/>
      </w:r>
    </w:p>
    <w:p w14:paraId="39290A7D">
      <w:pPr>
        <w:rPr>
          <w:rFonts w:ascii="Calibri" w:hAnsi="Calibri" w:eastAsia="宋体" w:cs="Times New Roman"/>
          <w:kern w:val="2"/>
          <w:sz w:val="21"/>
          <w:szCs w:val="24"/>
          <w:rtl w:val="0"/>
          <w:lang w:val="en-US" w:eastAsia="zh-CN" w:bidi="ar-SA"/>
        </w:rPr>
      </w:pPr>
    </w:p>
    <w:p w14:paraId="0000000D">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120" w:after="120" w:line="360" w:lineRule="auto"/>
        <w:textAlignment w:val="auto"/>
        <w:rPr>
          <w:rFonts w:ascii="Times New Roman" w:hAnsi="Times New Roman" w:eastAsia="宋体" w:cs="Times New Roman"/>
          <w:color w:val="1F1F1F"/>
          <w:sz w:val="24"/>
        </w:rPr>
      </w:pPr>
      <w:bookmarkStart w:id="1" w:name="_Toc13390"/>
      <w:r>
        <w:rPr>
          <w:rFonts w:ascii="Times New Roman" w:hAnsi="Times New Roman" w:eastAsia="宋体" w:cs="Times New Roman"/>
          <w:color w:val="1F1F1F"/>
          <w:sz w:val="24"/>
          <w:rtl w:val="0"/>
        </w:rPr>
        <w:t>1. 引言</w:t>
      </w:r>
      <w:bookmarkEnd w:id="1"/>
    </w:p>
    <w:p w14:paraId="0000000E">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Pr>
      </w:pPr>
      <w:r>
        <w:rPr>
          <w:rFonts w:ascii="Times New Roman" w:hAnsi="Times New Roman" w:eastAsia="宋体" w:cs="Times New Roman"/>
          <w:color w:val="1F1F1F"/>
          <w:sz w:val="24"/>
          <w:rtl w:val="0"/>
        </w:rPr>
        <w:t>计算机科学与技术的飞速发展已经深刻改变了人类社会的</w:t>
      </w:r>
      <w:r>
        <w:rPr>
          <w:rFonts w:hint="eastAsia" w:ascii="Times New Roman" w:hAnsi="Times New Roman" w:cs="Times New Roman"/>
          <w:color w:val="1F1F1F"/>
          <w:sz w:val="24"/>
          <w:rtl w:val="0"/>
          <w:lang w:val="en-US" w:eastAsia="zh-CN"/>
        </w:rPr>
        <w:t>生产方式</w:t>
      </w:r>
      <w:r>
        <w:rPr>
          <w:rFonts w:ascii="Times New Roman" w:hAnsi="Times New Roman" w:eastAsia="宋体" w:cs="Times New Roman"/>
          <w:color w:val="1F1F1F"/>
          <w:sz w:val="24"/>
          <w:rtl w:val="0"/>
        </w:rPr>
        <w:t>与交互方式。正如《计算机科学导论》第19章所述，计算机信息技术的快速发展对人类社会而言是一把“双刃剑”。</w:t>
      </w:r>
      <w:r>
        <w:rPr>
          <w:rFonts w:hint="eastAsia" w:ascii="Times New Roman" w:hAnsi="Times New Roman" w:cs="Times New Roman"/>
          <w:color w:val="1F1F1F"/>
          <w:sz w:val="24"/>
          <w:rtl w:val="0"/>
          <w:lang w:val="en-US" w:eastAsia="zh-CN"/>
        </w:rPr>
        <w:t>AI（人工智能）的发展就是为了解决人类的部分生活问题，目前而言，AI（人工智能）已经广泛应用于各行各业，包括医疗、智能家居、金融、教学、交通和部分制造业和服务业；</w:t>
      </w:r>
      <w:r>
        <w:rPr>
          <w:rFonts w:ascii="Times New Roman" w:hAnsi="Times New Roman" w:eastAsia="宋体" w:cs="Times New Roman"/>
          <w:color w:val="1F1F1F"/>
          <w:sz w:val="24"/>
          <w:rtl w:val="0"/>
        </w:rPr>
        <w:t>一方面，它赋予了社会经济活动前所未有的网络化与高效能；另一方面，随着系统复杂性与交互性的提升，技术引发的负面效应也日益凸显。</w:t>
      </w:r>
    </w:p>
    <w:p w14:paraId="0000000F">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Pr>
      </w:pPr>
      <w:r>
        <w:rPr>
          <w:rFonts w:ascii="Times New Roman" w:hAnsi="Times New Roman" w:eastAsia="宋体" w:cs="Times New Roman"/>
          <w:color w:val="1F1F1F"/>
          <w:sz w:val="24"/>
          <w:rtl w:val="0"/>
        </w:rPr>
        <w:t>近年来，生成式人工智能（AIGC, AI-Generated Content）的崛起标志着人工智能从感知理解世界迈向了生成创造世界的新阶段。从OpenAI发布的ChatGPT</w:t>
      </w:r>
      <w:r>
        <w:rPr>
          <w:rFonts w:hint="eastAsia" w:ascii="Times New Roman" w:hAnsi="Times New Roman" w:eastAsia="宋体" w:cs="Times New Roman"/>
          <w:color w:val="1F1F1F"/>
          <w:sz w:val="24"/>
          <w:rtl w:val="0"/>
          <w:lang w:val="en-US" w:eastAsia="zh-CN"/>
        </w:rPr>
        <w:t>和字节跳动发布的豆包——Seedream4.0</w:t>
      </w:r>
      <w:r>
        <w:rPr>
          <w:rFonts w:ascii="Times New Roman" w:hAnsi="Times New Roman" w:eastAsia="宋体" w:cs="Times New Roman"/>
          <w:color w:val="1F1F1F"/>
          <w:sz w:val="24"/>
          <w:rtl w:val="0"/>
        </w:rPr>
        <w:t>到Midjourney的图像生成，再到Sora的视频生成，AIGC技术极大地降低了内容创作的门槛。然而，这种“创造力”的民主化并非没有代价。</w:t>
      </w:r>
    </w:p>
    <w:p w14:paraId="00000010">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当前，围绕AIGC的争议主要集中在两个核心领域：一是版权问题，即AI利用海量</w:t>
      </w:r>
      <w:r>
        <w:rPr>
          <w:rFonts w:hint="eastAsia" w:ascii="Times New Roman" w:hAnsi="Times New Roman" w:eastAsia="宋体" w:cs="Times New Roman"/>
          <w:color w:val="1F1F1F"/>
          <w:sz w:val="24"/>
          <w:rtl w:val="0"/>
          <w:lang w:val="en-US" w:eastAsia="zh-CN"/>
        </w:rPr>
        <w:t>人们</w:t>
      </w:r>
      <w:r>
        <w:rPr>
          <w:rFonts w:ascii="Times New Roman" w:hAnsi="Times New Roman" w:eastAsia="宋体" w:cs="Times New Roman"/>
          <w:color w:val="1F1F1F"/>
          <w:sz w:val="24"/>
          <w:rtl w:val="0"/>
        </w:rPr>
        <w:t>作品进行训练是否构成侵权，以及AI生成物是否应受版权保护；二是深度伪造（Deepfake）技术的滥用，即利用深度学习技术篡改音视频，制造虚假信息、色情内容甚至进行诈骗。作为计算机科学与技术专业的学生，我们不仅需要掌握前沿的技术原理，更应具备敏锐的社会洞察力，从技术、法律与伦理的多维视角审视并解决这些问题。</w:t>
      </w:r>
    </w:p>
    <w:p w14:paraId="00000011">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after="120" w:line="360" w:lineRule="auto"/>
        <w:textAlignment w:val="auto"/>
        <w:rPr>
          <w:rFonts w:ascii="Times New Roman" w:hAnsi="Times New Roman" w:eastAsia="宋体" w:cs="Times New Roman"/>
          <w:color w:val="1F1F1F"/>
          <w:sz w:val="24"/>
        </w:rPr>
      </w:pPr>
      <w:bookmarkStart w:id="2" w:name="_Toc16407"/>
      <w:r>
        <w:rPr>
          <w:rFonts w:ascii="Times New Roman" w:hAnsi="Times New Roman" w:eastAsia="宋体" w:cs="Times New Roman"/>
          <w:color w:val="1F1F1F"/>
          <w:sz w:val="24"/>
          <w:rtl w:val="0"/>
        </w:rPr>
        <w:t>2. AIGC时代的知识产权新挑战</w:t>
      </w:r>
      <w:bookmarkEnd w:id="2"/>
    </w:p>
    <w:p w14:paraId="00000012">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知识产权是保护智力劳动成果的核心法律制度。根据我国相关法律定义，知识产权是人们就其智力创造的成果依法享有的专有权利，具有无形性、专有性、地域性和时间性等特点。然而，AIGC技术的介入打破了传统知识产权体系中“人”作为唯一创作主体的预设。</w:t>
      </w:r>
    </w:p>
    <w:p w14:paraId="00000013">
      <w:pPr>
        <w:pStyle w:val="4"/>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after="120" w:line="360" w:lineRule="auto"/>
        <w:textAlignment w:val="auto"/>
        <w:rPr>
          <w:rFonts w:ascii="Times New Roman" w:hAnsi="Times New Roman" w:eastAsia="宋体" w:cs="Times New Roman"/>
          <w:color w:val="1F1F1F"/>
          <w:sz w:val="24"/>
        </w:rPr>
      </w:pPr>
      <w:bookmarkStart w:id="3" w:name="_Toc28319"/>
      <w:r>
        <w:rPr>
          <w:rFonts w:ascii="Times New Roman" w:hAnsi="Times New Roman" w:eastAsia="宋体" w:cs="Times New Roman"/>
          <w:color w:val="1F1F1F"/>
          <w:sz w:val="24"/>
          <w:rtl w:val="0"/>
        </w:rPr>
        <w:t>2.1 生成式AI的技术原理与版权归属悖论</w:t>
      </w:r>
      <w:bookmarkEnd w:id="3"/>
    </w:p>
    <w:p w14:paraId="0000001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目前主流的AI绘画工具（如</w:t>
      </w:r>
      <w:r>
        <w:rPr>
          <w:rFonts w:hint="eastAsia" w:ascii="Times New Roman" w:hAnsi="Times New Roman" w:eastAsia="宋体" w:cs="Times New Roman"/>
          <w:color w:val="1F1F1F"/>
          <w:sz w:val="24"/>
          <w:rtl w:val="0"/>
          <w:lang w:val="en-US" w:eastAsia="zh-CN"/>
        </w:rPr>
        <w:t>字节跳动（豆包）Seedream4.0</w:t>
      </w:r>
      <w:r>
        <w:rPr>
          <w:rFonts w:ascii="Times New Roman" w:hAnsi="Times New Roman" w:eastAsia="宋体" w:cs="Times New Roman"/>
          <w:color w:val="1F1F1F"/>
          <w:sz w:val="24"/>
          <w:rtl w:val="0"/>
        </w:rPr>
        <w:t>）主要基于扩散模型（Diffusion Model）。该模型通过向图像添加高斯噪声进行破坏，再训练神经网络逆向恢复图像，从而学习数据分布。虽然从技术角度看，AI是在进行复杂的概率计算而非简单的拼贴，但其生成的“作品”是否具有独创性，目前在法律界存在巨大争议。</w:t>
      </w:r>
    </w:p>
    <w:p w14:paraId="00000015">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120" w:line="360" w:lineRule="auto"/>
        <w:textAlignment w:val="auto"/>
        <w:rPr>
          <w:rFonts w:ascii="Times New Roman" w:hAnsi="Times New Roman" w:eastAsia="宋体" w:cs="Times New Roman"/>
          <w:b/>
          <w:bCs/>
          <w:color w:val="1F1F1F"/>
          <w:sz w:val="24"/>
        </w:rPr>
      </w:pPr>
      <w:r>
        <w:rPr>
          <w:rFonts w:ascii="Times New Roman" w:hAnsi="Times New Roman" w:eastAsia="宋体" w:cs="Times New Roman"/>
          <w:b/>
          <w:bCs/>
          <w:color w:val="1F1F1F"/>
          <w:sz w:val="24"/>
          <w:rtl w:val="0"/>
        </w:rPr>
        <w:t>版权归属的困境在于：</w:t>
      </w:r>
    </w:p>
    <w:p w14:paraId="00000016">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0" w:afterAutospacing="0" w:line="360" w:lineRule="auto"/>
        <w:ind w:left="480" w:hanging="36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AI不是法律主体：</w:t>
      </w:r>
      <w:r>
        <w:rPr>
          <w:rFonts w:ascii="Times New Roman" w:hAnsi="Times New Roman" w:eastAsia="宋体" w:cs="Times New Roman"/>
          <w:color w:val="1F1F1F"/>
          <w:sz w:val="24"/>
          <w:rtl w:val="0"/>
        </w:rPr>
        <w:t xml:space="preserve"> 我国《著作权法》规定，作品必须是自然人的智力成果。AI作为计算机程序，不具备法律人格，因此无法成为版权所有者。</w:t>
      </w:r>
    </w:p>
    <w:p w14:paraId="00000017">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beforeAutospacing="0" w:after="120" w:line="360" w:lineRule="auto"/>
        <w:ind w:left="480" w:hanging="36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使用者的贡献度难以量化：</w:t>
      </w:r>
      <w:r>
        <w:rPr>
          <w:rFonts w:ascii="Times New Roman" w:hAnsi="Times New Roman" w:eastAsia="宋体" w:cs="Times New Roman"/>
          <w:color w:val="1F1F1F"/>
          <w:sz w:val="24"/>
          <w:rtl w:val="0"/>
        </w:rPr>
        <w:t xml:space="preserve"> 用户通过输入提示词（Prompt）引导AI生成图像。虽然提示词包含了一定的创意，但AI生成的最终结果具有随机性（Randomness），用户无法精确控制每一笔画的走向。这种</w:t>
      </w:r>
      <w:r>
        <w:rPr>
          <w:rFonts w:hint="eastAsia" w:ascii="Times New Roman" w:hAnsi="Times New Roman" w:cs="Times New Roman"/>
          <w:color w:val="1F1F1F"/>
          <w:sz w:val="24"/>
          <w:rtl w:val="0"/>
          <w:lang w:eastAsia="zh-CN"/>
        </w:rPr>
        <w:t>“</w:t>
      </w:r>
      <w:r>
        <w:rPr>
          <w:rFonts w:ascii="Times New Roman" w:hAnsi="Times New Roman" w:eastAsia="宋体" w:cs="Times New Roman"/>
          <w:color w:val="1F1F1F"/>
          <w:sz w:val="24"/>
          <w:rtl w:val="0"/>
        </w:rPr>
        <w:t>弱控制</w:t>
      </w:r>
      <w:r>
        <w:rPr>
          <w:rFonts w:hint="eastAsia" w:ascii="Times New Roman" w:hAnsi="Times New Roman" w:cs="Times New Roman"/>
          <w:color w:val="1F1F1F"/>
          <w:sz w:val="24"/>
          <w:rtl w:val="0"/>
          <w:lang w:eastAsia="zh-CN"/>
        </w:rPr>
        <w:t>”</w:t>
      </w:r>
      <w:r>
        <w:rPr>
          <w:rFonts w:ascii="Times New Roman" w:hAnsi="Times New Roman" w:eastAsia="宋体" w:cs="Times New Roman"/>
          <w:color w:val="1F1F1F"/>
          <w:sz w:val="24"/>
          <w:rtl w:val="0"/>
        </w:rPr>
        <w:t>特性使得用户难以主张对生成物拥有完整的著作权。</w:t>
      </w:r>
    </w:p>
    <w:p w14:paraId="00000018">
      <w:pPr>
        <w:pStyle w:val="4"/>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120" w:after="120" w:line="360" w:lineRule="auto"/>
        <w:textAlignment w:val="auto"/>
        <w:rPr>
          <w:rFonts w:ascii="Times New Roman" w:hAnsi="Times New Roman" w:eastAsia="宋体" w:cs="Times New Roman"/>
          <w:color w:val="1F1F1F"/>
          <w:sz w:val="24"/>
        </w:rPr>
      </w:pPr>
      <w:bookmarkStart w:id="4" w:name="_Toc15372"/>
      <w:r>
        <w:rPr>
          <w:rFonts w:ascii="Times New Roman" w:hAnsi="Times New Roman" w:eastAsia="宋体" w:cs="Times New Roman"/>
          <w:color w:val="1F1F1F"/>
          <w:sz w:val="24"/>
          <w:rtl w:val="0"/>
        </w:rPr>
        <w:t>2.2 司法实践中的突破：从“AI文生图”第一案看独创性认定</w:t>
      </w:r>
      <w:bookmarkEnd w:id="4"/>
    </w:p>
    <w:p w14:paraId="0000001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针对上述困境，我国司法实践已开始探索新的认定标准。在2023年北京互联网法院审理的</w:t>
      </w:r>
      <w:r>
        <w:rPr>
          <w:rFonts w:hint="eastAsia" w:ascii="Times New Roman" w:hAnsi="Times New Roman" w:eastAsia="宋体" w:cs="Times New Roman"/>
          <w:color w:val="1F1F1F"/>
          <w:sz w:val="24"/>
          <w:rtl w:val="0"/>
          <w:lang w:eastAsia="zh-CN"/>
        </w:rPr>
        <w:t>“</w:t>
      </w:r>
      <w:r>
        <w:rPr>
          <w:rFonts w:ascii="Times New Roman" w:hAnsi="Times New Roman" w:eastAsia="宋体" w:cs="Times New Roman"/>
          <w:color w:val="1F1F1F"/>
          <w:sz w:val="24"/>
          <w:rtl w:val="0"/>
        </w:rPr>
        <w:t>AI文生图</w:t>
      </w:r>
      <w:r>
        <w:rPr>
          <w:rFonts w:hint="eastAsia" w:ascii="Times New Roman" w:hAnsi="Times New Roman" w:eastAsia="宋体" w:cs="Times New Roman"/>
          <w:color w:val="1F1F1F"/>
          <w:sz w:val="24"/>
          <w:rtl w:val="0"/>
          <w:lang w:eastAsia="zh-CN"/>
        </w:rPr>
        <w:t>”</w:t>
      </w:r>
      <w:r>
        <w:rPr>
          <w:rFonts w:ascii="Times New Roman" w:hAnsi="Times New Roman" w:eastAsia="宋体" w:cs="Times New Roman"/>
          <w:color w:val="1F1F1F"/>
          <w:sz w:val="24"/>
          <w:rtl w:val="0"/>
        </w:rPr>
        <w:t>著作权案中，法院做出了具有里程碑意义的判决。</w:t>
      </w:r>
    </w:p>
    <w:p w14:paraId="0000001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该案中，原告使用Stable Diffusion模型，通过输入150余个提示词、设置参数、反复修改，最终生成了一幅图片。法院认为，虽然AI模型本身不能成为作者，但原告在生成过程中进行了智力投入（如设计提示词、选择参数），体现了个性化的审美选择和独创性表达。因此，该图片被认定为受到著作权法保护的美术作品。这一判例表明，我国司法倾向于在特定条件下认可</w:t>
      </w:r>
      <w:r>
        <w:rPr>
          <w:rFonts w:hint="eastAsia" w:ascii="Times New Roman" w:hAnsi="Times New Roman" w:eastAsia="宋体" w:cs="Times New Roman"/>
          <w:color w:val="1F1F1F"/>
          <w:sz w:val="24"/>
          <w:rtl w:val="0"/>
          <w:lang w:eastAsia="zh-CN"/>
        </w:rPr>
        <w:t>“</w:t>
      </w:r>
      <w:r>
        <w:rPr>
          <w:rFonts w:ascii="Times New Roman" w:hAnsi="Times New Roman" w:eastAsia="宋体" w:cs="Times New Roman"/>
          <w:color w:val="1F1F1F"/>
          <w:sz w:val="24"/>
          <w:rtl w:val="0"/>
        </w:rPr>
        <w:t>人机协作</w:t>
      </w:r>
      <w:r>
        <w:rPr>
          <w:rFonts w:hint="eastAsia" w:ascii="Times New Roman" w:hAnsi="Times New Roman" w:eastAsia="宋体" w:cs="Times New Roman"/>
          <w:color w:val="1F1F1F"/>
          <w:sz w:val="24"/>
          <w:rtl w:val="0"/>
          <w:lang w:eastAsia="zh-CN"/>
        </w:rPr>
        <w:t>”</w:t>
      </w:r>
      <w:r>
        <w:rPr>
          <w:rFonts w:ascii="Times New Roman" w:hAnsi="Times New Roman" w:eastAsia="宋体" w:cs="Times New Roman"/>
          <w:color w:val="1F1F1F"/>
          <w:sz w:val="24"/>
          <w:rtl w:val="0"/>
        </w:rPr>
        <w:t>成果的版权，这为解决AIGC版权归属问题提供了重要参考。</w:t>
      </w:r>
    </w:p>
    <w:p w14:paraId="0000001B">
      <w:pPr>
        <w:pStyle w:val="4"/>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after="120" w:line="360" w:lineRule="auto"/>
        <w:textAlignment w:val="auto"/>
        <w:rPr>
          <w:rFonts w:ascii="Times New Roman" w:hAnsi="Times New Roman" w:eastAsia="宋体" w:cs="Times New Roman"/>
          <w:color w:val="1F1F1F"/>
          <w:sz w:val="24"/>
        </w:rPr>
      </w:pPr>
      <w:bookmarkStart w:id="5" w:name="_Toc7335"/>
      <w:r>
        <w:rPr>
          <w:rFonts w:ascii="Times New Roman" w:hAnsi="Times New Roman" w:eastAsia="宋体" w:cs="Times New Roman"/>
          <w:color w:val="1F1F1F"/>
          <w:sz w:val="24"/>
          <w:rtl w:val="0"/>
        </w:rPr>
        <w:t>2.3 训练数据获取中的侵权风险分析</w:t>
      </w:r>
      <w:bookmarkEnd w:id="5"/>
    </w:p>
    <w:p w14:paraId="0000001C">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AIGC模型的强大能力源于对海量互联网数据的“喂养”。例如，大语言模型（LLM）的训练语料库包含了数万亿个Token，其中不乏受版权保护的书籍、新闻报道和代码。</w:t>
      </w:r>
    </w:p>
    <w:p w14:paraId="0000001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120" w:line="360" w:lineRule="auto"/>
        <w:textAlignment w:val="auto"/>
        <w:rPr>
          <w:rFonts w:ascii="Times New Roman" w:hAnsi="Times New Roman" w:eastAsia="宋体" w:cs="Times New Roman"/>
          <w:b/>
          <w:bCs/>
          <w:color w:val="1F1F1F"/>
          <w:sz w:val="24"/>
        </w:rPr>
      </w:pPr>
      <w:r>
        <w:rPr>
          <w:rFonts w:ascii="Times New Roman" w:hAnsi="Times New Roman" w:eastAsia="宋体" w:cs="Times New Roman"/>
          <w:b/>
          <w:bCs/>
          <w:color w:val="1F1F1F"/>
          <w:sz w:val="24"/>
          <w:rtl w:val="0"/>
        </w:rPr>
        <w:t>数据获取中的法律与道德问题：</w:t>
      </w:r>
    </w:p>
    <w:p w14:paraId="0000001E">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0" w:afterAutospacing="0" w:line="360" w:lineRule="auto"/>
        <w:ind w:left="480" w:hanging="36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未经授权的复制：</w:t>
      </w:r>
      <w:r>
        <w:rPr>
          <w:rFonts w:ascii="Times New Roman" w:hAnsi="Times New Roman" w:eastAsia="宋体" w:cs="Times New Roman"/>
          <w:color w:val="1F1F1F"/>
          <w:sz w:val="24"/>
          <w:rtl w:val="0"/>
        </w:rPr>
        <w:t xml:space="preserve"> 在模型训练阶段，开发商往往利用爬虫技术抓取网络数据。虽然部分观点认为这属于“合理使用”范畴，但根据中国信通院发布的报告指出，现有法律对于由算法大规模挖掘版权内容的行为界定尚不清晰，这给版权人带来了巨大的维权难度。</w:t>
      </w:r>
    </w:p>
    <w:p w14:paraId="0000001F">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beforeAutospacing="0" w:after="120" w:line="360" w:lineRule="auto"/>
        <w:ind w:left="480" w:hanging="36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代码抄袭：</w:t>
      </w:r>
      <w:r>
        <w:rPr>
          <w:rFonts w:ascii="Times New Roman" w:hAnsi="Times New Roman" w:eastAsia="宋体" w:cs="Times New Roman"/>
          <w:color w:val="1F1F1F"/>
          <w:sz w:val="24"/>
          <w:rtl w:val="0"/>
        </w:rPr>
        <w:t xml:space="preserve"> AI编程助手在训练时使用了开源代码。有时它会生成与GPL许可证项目完全相同的代码片段，却未保留原作者的版权声明。这直接违反了开源社区的互惠精神，也违背了《计算机科学导论》中提到的“尊重别人的知识产权和获取经济利益的权利”这一道德准则。</w:t>
      </w:r>
    </w:p>
    <w:p w14:paraId="00000020">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120" w:after="120" w:line="360" w:lineRule="auto"/>
        <w:textAlignment w:val="auto"/>
        <w:rPr>
          <w:rFonts w:ascii="Times New Roman" w:hAnsi="Times New Roman" w:eastAsia="宋体" w:cs="Times New Roman"/>
          <w:color w:val="1F1F1F"/>
          <w:sz w:val="24"/>
        </w:rPr>
      </w:pPr>
      <w:bookmarkStart w:id="6" w:name="_Toc25692"/>
      <w:r>
        <w:rPr>
          <w:rFonts w:ascii="Times New Roman" w:hAnsi="Times New Roman" w:eastAsia="宋体" w:cs="Times New Roman"/>
          <w:color w:val="1F1F1F"/>
          <w:sz w:val="24"/>
          <w:rtl w:val="0"/>
        </w:rPr>
        <w:t>3. 深度伪造技术的滥用与社会危害</w:t>
      </w:r>
      <w:bookmarkEnd w:id="6"/>
    </w:p>
    <w:p w14:paraId="00000021">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如果说AIGC的版权问题主要涉及财产利益的分配，那么深度伪造（Deepfake）技术的滥用则直接威胁到了公民的人格尊严、财产安全乃至国家安全。</w:t>
      </w:r>
    </w:p>
    <w:p w14:paraId="00000022">
      <w:pPr>
        <w:pStyle w:val="4"/>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after="120" w:line="360" w:lineRule="auto"/>
        <w:textAlignment w:val="auto"/>
        <w:rPr>
          <w:rFonts w:ascii="Times New Roman" w:hAnsi="Times New Roman" w:eastAsia="宋体" w:cs="Times New Roman"/>
          <w:color w:val="1F1F1F"/>
          <w:sz w:val="24"/>
        </w:rPr>
      </w:pPr>
      <w:bookmarkStart w:id="7" w:name="_Toc17435"/>
      <w:r>
        <w:rPr>
          <w:rFonts w:ascii="Times New Roman" w:hAnsi="Times New Roman" w:eastAsia="宋体" w:cs="Times New Roman"/>
          <w:color w:val="1F1F1F"/>
          <w:sz w:val="24"/>
          <w:rtl w:val="0"/>
        </w:rPr>
        <w:t>3.1 深度伪造的技术原理与应用双面性</w:t>
      </w:r>
      <w:bookmarkEnd w:id="7"/>
    </w:p>
    <w:p w14:paraId="0000002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深度伪造技术主要依赖于生成对抗网络（GANs, Generative Adversarial Networks）。GAN由一个生成器（Generator）和一个判别器（Discriminator）组成，两者在对抗博弈中不断进化，最终使生成器能够制造出肉眼难辨的虚假图像或视频。</w:t>
      </w:r>
    </w:p>
    <w:p w14:paraId="0000002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在影视制作、游戏开发（如面部捕捉）和历史影像修复领域，Deepfake具有巨大的应用价值。然而，由于该技术开源且易于获取，其使用门槛大幅降低，导致了严重的滥用现象。</w:t>
      </w:r>
    </w:p>
    <w:p w14:paraId="00000025">
      <w:pPr>
        <w:pStyle w:val="4"/>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after="120" w:line="360" w:lineRule="auto"/>
        <w:textAlignment w:val="auto"/>
        <w:rPr>
          <w:rFonts w:ascii="Times New Roman" w:hAnsi="Times New Roman" w:eastAsia="宋体" w:cs="Times New Roman"/>
          <w:color w:val="1F1F1F"/>
          <w:sz w:val="24"/>
        </w:rPr>
      </w:pPr>
      <w:bookmarkStart w:id="8" w:name="_Toc26101"/>
      <w:r>
        <w:rPr>
          <w:rFonts w:ascii="Times New Roman" w:hAnsi="Times New Roman" w:eastAsia="宋体" w:cs="Times New Roman"/>
          <w:color w:val="1F1F1F"/>
          <w:sz w:val="24"/>
          <w:rtl w:val="0"/>
        </w:rPr>
        <w:t>3.2 隐私权侵犯与信任危机</w:t>
      </w:r>
      <w:bookmarkEnd w:id="8"/>
    </w:p>
    <w:p w14:paraId="00000026">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隐私权是指人们享有的私人生活安宁与私人信息秘密依法受到保护，不被他人非法侵扰的人格权。Deepfake技术的滥用是对隐私权的极端侵犯。</w:t>
      </w:r>
    </w:p>
    <w:p w14:paraId="00000027">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0" w:afterAutospacing="0" w:line="360" w:lineRule="auto"/>
        <w:ind w:left="480" w:hanging="36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生物特征信息的泄露：</w:t>
      </w:r>
      <w:r>
        <w:rPr>
          <w:rFonts w:ascii="Times New Roman" w:hAnsi="Times New Roman" w:eastAsia="宋体" w:cs="Times New Roman"/>
          <w:color w:val="1F1F1F"/>
          <w:sz w:val="24"/>
          <w:rtl w:val="0"/>
        </w:rPr>
        <w:t xml:space="preserve"> 随着人脸识别支付的普及，人脸数据成为了敏感的个人信息。Deepfake技术可以攻破活体检测系统，被用于金融诈骗。</w:t>
      </w:r>
    </w:p>
    <w:p w14:paraId="00000028">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beforeAutospacing="0" w:after="120" w:line="360" w:lineRule="auto"/>
        <w:ind w:left="480" w:hanging="36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社会信任的崩塌：</w:t>
      </w:r>
      <w:r>
        <w:rPr>
          <w:rFonts w:ascii="Times New Roman" w:hAnsi="Times New Roman" w:eastAsia="宋体" w:cs="Times New Roman"/>
          <w:color w:val="1F1F1F"/>
          <w:sz w:val="24"/>
          <w:rtl w:val="0"/>
        </w:rPr>
        <w:t xml:space="preserve"> “眼见为实”曾是人类认知的基石。当视频和音频都可以被完美伪造时，社会信息的真实性受到根本挑战。学者黄静等在《电子政务》期刊中指出，深度伪造风险呈现出技术架构中的内生性与层级化衍生风险，可能引发难以预测的社会公共安全事件。这正是教材中提到的网络信息传播导致“突发群众性事件变得更加不可预测”的典型表现。</w:t>
      </w:r>
    </w:p>
    <w:p w14:paraId="00000029">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120" w:after="120" w:line="360" w:lineRule="auto"/>
        <w:textAlignment w:val="auto"/>
        <w:rPr>
          <w:rFonts w:ascii="Times New Roman" w:hAnsi="Times New Roman" w:eastAsia="宋体" w:cs="Times New Roman"/>
          <w:color w:val="1F1F1F"/>
          <w:sz w:val="24"/>
        </w:rPr>
      </w:pPr>
      <w:bookmarkStart w:id="9" w:name="_Toc19474"/>
      <w:r>
        <w:rPr>
          <w:rFonts w:ascii="Times New Roman" w:hAnsi="Times New Roman" w:eastAsia="宋体" w:cs="Times New Roman"/>
          <w:color w:val="1F1F1F"/>
          <w:sz w:val="24"/>
          <w:rtl w:val="0"/>
        </w:rPr>
        <w:t>4. 计算机伦理视角下的问题剖析</w:t>
      </w:r>
      <w:bookmarkEnd w:id="9"/>
    </w:p>
    <w:p w14:paraId="0000002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hint="eastAsia" w:ascii="Times New Roman" w:hAnsi="Times New Roman" w:eastAsia="宋体" w:cs="Times New Roman"/>
          <w:color w:val="1F1F1F"/>
          <w:sz w:val="24"/>
          <w:rtl w:val="0"/>
          <w:lang w:val="en-US" w:eastAsia="zh-CN"/>
        </w:rPr>
        <w:t>AI</w:t>
      </w:r>
      <w:r>
        <w:rPr>
          <w:rFonts w:ascii="Times New Roman" w:hAnsi="Times New Roman" w:eastAsia="宋体" w:cs="Times New Roman"/>
          <w:color w:val="1F1F1F"/>
          <w:sz w:val="24"/>
          <w:rtl w:val="0"/>
        </w:rPr>
        <w:t>技术本身或许是中立的工具，但技术的设计者、开发者和使用者必须承担相应的道德责任。</w:t>
      </w:r>
    </w:p>
    <w:p w14:paraId="0000002B">
      <w:pPr>
        <w:pStyle w:val="4"/>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after="120" w:line="360" w:lineRule="auto"/>
        <w:textAlignment w:val="auto"/>
        <w:rPr>
          <w:rFonts w:ascii="Times New Roman" w:hAnsi="Times New Roman" w:eastAsia="宋体" w:cs="Times New Roman"/>
          <w:color w:val="1F1F1F"/>
          <w:sz w:val="24"/>
        </w:rPr>
      </w:pPr>
      <w:bookmarkStart w:id="10" w:name="_Toc18922"/>
      <w:r>
        <w:rPr>
          <w:rFonts w:ascii="Times New Roman" w:hAnsi="Times New Roman" w:eastAsia="宋体" w:cs="Times New Roman"/>
          <w:color w:val="1F1F1F"/>
          <w:sz w:val="24"/>
          <w:rtl w:val="0"/>
        </w:rPr>
        <w:t>4.1 职业道德与技术中立的伦理困境</w:t>
      </w:r>
      <w:bookmarkEnd w:id="10"/>
    </w:p>
    <w:p w14:paraId="0000002C">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在计算机行业，许多开发者信奉“技术中立论”，认为技术无罪，罪在人心。然而，这种观点在算法时代显得苍白无力。算法模型的设计包含了开发者的价值观。如果开发者明知开源换脸代码会被用于非法用途却未设置限制，这就构成了伦理失范。</w:t>
      </w:r>
    </w:p>
    <w:p w14:paraId="0000002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计算机科学导论》指出，职业道德的基本职能是调节从业人员和服务对象之间的关系。当计算机专业人员为了追求算法的“最高效率”和“最高精度”，而忽视了其对社会可能造成的负面冲击时，就是违背了职业道德中“公正透明、服务社会”的要求。</w:t>
      </w:r>
    </w:p>
    <w:p w14:paraId="0000002E">
      <w:pPr>
        <w:pStyle w:val="4"/>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after="120" w:line="360" w:lineRule="auto"/>
        <w:textAlignment w:val="auto"/>
        <w:rPr>
          <w:rFonts w:ascii="Times New Roman" w:hAnsi="Times New Roman" w:eastAsia="宋体" w:cs="Times New Roman"/>
          <w:color w:val="1F1F1F"/>
          <w:sz w:val="24"/>
        </w:rPr>
      </w:pPr>
      <w:bookmarkStart w:id="11" w:name="_Toc17991"/>
      <w:r>
        <w:rPr>
          <w:rFonts w:ascii="Times New Roman" w:hAnsi="Times New Roman" w:eastAsia="宋体" w:cs="Times New Roman"/>
          <w:color w:val="1F1F1F"/>
          <w:sz w:val="24"/>
          <w:rtl w:val="0"/>
        </w:rPr>
        <w:t>4.2 基于ACM规范的伦理审视</w:t>
      </w:r>
      <w:bookmarkEnd w:id="11"/>
    </w:p>
    <w:p w14:paraId="0000002F">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IEEE和ACM（美国计算机协会）制定的道德和职业行为规范为我们提供了具体的判断标准。对照AIGC和Deepfake的乱象：</w:t>
      </w:r>
    </w:p>
    <w:p w14:paraId="00000030">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0" w:afterAutospacing="0" w:line="360" w:lineRule="auto"/>
        <w:ind w:left="465" w:leftChars="0" w:hanging="360" w:firstLineChars="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违反“不要伤害别人”：</w:t>
      </w:r>
      <w:r>
        <w:rPr>
          <w:rFonts w:ascii="Times New Roman" w:hAnsi="Times New Roman" w:eastAsia="宋体" w:cs="Times New Roman"/>
          <w:color w:val="1F1F1F"/>
          <w:sz w:val="24"/>
          <w:rtl w:val="0"/>
        </w:rPr>
        <w:t xml:space="preserve"> 制造Deepfake诈骗工具、开发洗稿软件，直接损害了他人的财产和名誉，这是对该准则的公然违背。</w:t>
      </w:r>
    </w:p>
    <w:p w14:paraId="00000031">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beforeAutospacing="0" w:after="120" w:line="360" w:lineRule="auto"/>
        <w:ind w:left="465" w:leftChars="0" w:hanging="360" w:firstLineChars="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违反“尊重别人的隐私权”：</w:t>
      </w:r>
      <w:r>
        <w:rPr>
          <w:rFonts w:ascii="Times New Roman" w:hAnsi="Times New Roman" w:eastAsia="宋体" w:cs="Times New Roman"/>
          <w:color w:val="1F1F1F"/>
          <w:sz w:val="24"/>
          <w:rtl w:val="0"/>
        </w:rPr>
        <w:t xml:space="preserve"> 在未经用户同意的情况下，抓取社交媒体照片训练Deepfake模型，侵犯了用户对自己信息的控制权。</w:t>
      </w:r>
    </w:p>
    <w:p w14:paraId="00000032">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120" w:after="120" w:line="360" w:lineRule="auto"/>
        <w:textAlignment w:val="auto"/>
        <w:rPr>
          <w:rFonts w:ascii="Times New Roman" w:hAnsi="Times New Roman" w:eastAsia="宋体" w:cs="Times New Roman"/>
          <w:color w:val="1F1F1F"/>
          <w:sz w:val="24"/>
        </w:rPr>
      </w:pPr>
      <w:bookmarkStart w:id="12" w:name="_Toc7221"/>
      <w:r>
        <w:rPr>
          <w:rFonts w:ascii="Times New Roman" w:hAnsi="Times New Roman" w:eastAsia="宋体" w:cs="Times New Roman"/>
          <w:color w:val="1F1F1F"/>
          <w:sz w:val="24"/>
          <w:rtl w:val="0"/>
        </w:rPr>
        <w:t>5. 治理对策与技术解决方案</w:t>
      </w:r>
      <w:bookmarkEnd w:id="12"/>
    </w:p>
    <w:p w14:paraId="0000003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面对AIGC和Deepfake带来的挑战，单一的法律禁止或技术封锁都无法奏效，必须建立法律、技术与伦理并重的综合治理体系。</w:t>
      </w:r>
    </w:p>
    <w:p w14:paraId="00000034">
      <w:pPr>
        <w:pStyle w:val="4"/>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after="120" w:line="360" w:lineRule="auto"/>
        <w:textAlignment w:val="auto"/>
        <w:rPr>
          <w:rFonts w:ascii="Times New Roman" w:hAnsi="Times New Roman" w:eastAsia="宋体" w:cs="Times New Roman"/>
          <w:color w:val="1F1F1F"/>
          <w:sz w:val="24"/>
        </w:rPr>
      </w:pPr>
      <w:bookmarkStart w:id="13" w:name="_Toc29513"/>
      <w:r>
        <w:rPr>
          <w:rFonts w:ascii="Times New Roman" w:hAnsi="Times New Roman" w:eastAsia="宋体" w:cs="Times New Roman"/>
          <w:color w:val="1F1F1F"/>
          <w:sz w:val="24"/>
          <w:rtl w:val="0"/>
        </w:rPr>
        <w:t>5.1 法律法规的适应性修订</w:t>
      </w:r>
      <w:bookmarkEnd w:id="13"/>
    </w:p>
    <w:p w14:paraId="00000035">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法律具有滞后性，但必须尽快跟上技术发展的步伐。</w:t>
      </w:r>
    </w:p>
    <w:p w14:paraId="00000036">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0" w:afterAutospacing="0" w:line="360" w:lineRule="auto"/>
        <w:ind w:left="480" w:hanging="36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强制标识义务：</w:t>
      </w:r>
      <w:r>
        <w:rPr>
          <w:rFonts w:ascii="Times New Roman" w:hAnsi="Times New Roman" w:eastAsia="宋体" w:cs="Times New Roman"/>
          <w:color w:val="1F1F1F"/>
          <w:sz w:val="24"/>
          <w:rtl w:val="0"/>
        </w:rPr>
        <w:t xml:space="preserve"> 我国国家互联网信息办公室发布的《互联网信息服务深度合成管理规定》明确要求，深度合成服务提供者对使用其服务生成或者编辑的信息内容，应当添加不影响用户使用的标识。这一规定保障了公众的知情权，是防止虚假信息传播的关键一环。</w:t>
      </w:r>
    </w:p>
    <w:p w14:paraId="00000037">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beforeAutospacing="0" w:after="120" w:line="360" w:lineRule="auto"/>
        <w:ind w:left="480" w:hanging="36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明确AIGC版权归属：</w:t>
      </w:r>
      <w:r>
        <w:rPr>
          <w:rFonts w:ascii="Times New Roman" w:hAnsi="Times New Roman" w:eastAsia="宋体" w:cs="Times New Roman"/>
          <w:color w:val="1F1F1F"/>
          <w:sz w:val="24"/>
          <w:rtl w:val="0"/>
        </w:rPr>
        <w:t xml:space="preserve"> 参考北京互联网法院的判例，建议立法层面进一步细化“智力投入”的认定标准，平衡鼓励技术创新与保护人类创作之间的关系。</w:t>
      </w:r>
    </w:p>
    <w:p w14:paraId="00000038">
      <w:pPr>
        <w:pStyle w:val="4"/>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120" w:after="120" w:line="360" w:lineRule="auto"/>
        <w:textAlignment w:val="auto"/>
        <w:rPr>
          <w:rFonts w:ascii="Times New Roman" w:hAnsi="Times New Roman" w:eastAsia="宋体" w:cs="Times New Roman"/>
          <w:color w:val="1F1F1F"/>
          <w:sz w:val="24"/>
        </w:rPr>
      </w:pPr>
      <w:bookmarkStart w:id="14" w:name="_Toc30112"/>
      <w:r>
        <w:rPr>
          <w:rFonts w:ascii="Times New Roman" w:hAnsi="Times New Roman" w:eastAsia="宋体" w:cs="Times New Roman"/>
          <w:color w:val="1F1F1F"/>
          <w:sz w:val="24"/>
          <w:rtl w:val="0"/>
        </w:rPr>
        <w:t>5.2 “用技术治理技术”的路径探索</w:t>
      </w:r>
      <w:bookmarkEnd w:id="14"/>
    </w:p>
    <w:p w14:paraId="0000003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作为计算机专业的学生，我们应利用专业知识，开发反制技术，通过算法对抗算法。</w:t>
      </w:r>
    </w:p>
    <w:p w14:paraId="0000003A">
      <w:pPr>
        <w:keepNext w:val="0"/>
        <w:keepLines w:val="0"/>
        <w:pageBreakBefore w:val="0"/>
        <w:widowControl w:val="0"/>
        <w:numPr>
          <w:ilvl w:val="0"/>
          <w:numId w:val="7"/>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0" w:afterAutospacing="0" w:line="360" w:lineRule="auto"/>
        <w:ind w:left="480" w:hanging="36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数字水印技术（Digital Watermarking）：</w:t>
      </w:r>
    </w:p>
    <w:p w14:paraId="0000003B">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0" w:afterAutospacing="0" w:line="360" w:lineRule="auto"/>
        <w:ind w:left="885" w:leftChars="0" w:hanging="360" w:firstLineChars="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频域水印：</w:t>
      </w:r>
      <w:r>
        <w:rPr>
          <w:rFonts w:ascii="Times New Roman" w:hAnsi="Times New Roman" w:eastAsia="宋体" w:cs="Times New Roman"/>
          <w:color w:val="1F1F1F"/>
          <w:sz w:val="24"/>
          <w:rtl w:val="0"/>
        </w:rPr>
        <w:t xml:space="preserve"> 在图像的频域（如DCT变换域）嵌入版权信息，即使图像经过压缩或裁剪，水印依然可被检出。这可用于追踪AIGC内容的来源。</w:t>
      </w:r>
    </w:p>
    <w:p w14:paraId="0000003C">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beforeAutospacing="0" w:after="0" w:afterAutospacing="0" w:line="360" w:lineRule="auto"/>
        <w:ind w:left="885" w:leftChars="0" w:hanging="360" w:firstLineChars="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不可见水印（Invisible Watermark）：</w:t>
      </w:r>
      <w:r>
        <w:rPr>
          <w:rFonts w:ascii="Times New Roman" w:hAnsi="Times New Roman" w:eastAsia="宋体" w:cs="Times New Roman"/>
          <w:color w:val="1F1F1F"/>
          <w:sz w:val="24"/>
          <w:rtl w:val="0"/>
        </w:rPr>
        <w:t xml:space="preserve"> 在Deepfake生成过程中强制嵌入人眼无法察觉的标识，供平台审核识别。</w:t>
      </w:r>
    </w:p>
    <w:p w14:paraId="0000003D">
      <w:pPr>
        <w:keepNext w:val="0"/>
        <w:keepLines w:val="0"/>
        <w:pageBreakBefore w:val="0"/>
        <w:widowControl w:val="0"/>
        <w:numPr>
          <w:ilvl w:val="0"/>
          <w:numId w:val="7"/>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beforeAutospacing="0" w:after="0" w:afterAutospacing="0" w:line="360" w:lineRule="auto"/>
        <w:ind w:left="480" w:hanging="360"/>
        <w:textAlignment w:val="auto"/>
        <w:rPr>
          <w:rFonts w:ascii="Times New Roman" w:hAnsi="Times New Roman" w:eastAsia="宋体" w:cs="Times New Roman"/>
          <w:sz w:val="24"/>
        </w:rPr>
      </w:pPr>
      <w:r>
        <w:rPr>
          <w:rFonts w:ascii="Times New Roman" w:hAnsi="Times New Roman" w:eastAsia="宋体" w:cs="Times New Roman"/>
          <w:b/>
          <w:bCs/>
          <w:color w:val="1F1F1F"/>
          <w:sz w:val="24"/>
          <w:rtl w:val="0"/>
        </w:rPr>
        <w:t>深度伪造检测算法：</w:t>
      </w:r>
    </w:p>
    <w:p w14:paraId="0000003E">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120" w:line="360" w:lineRule="auto"/>
        <w:ind w:left="885" w:leftChars="0" w:hanging="360" w:firstLineChars="0"/>
        <w:textAlignment w:val="auto"/>
        <w:rPr>
          <w:rFonts w:ascii="Times New Roman" w:hAnsi="Times New Roman" w:eastAsia="宋体" w:cs="Times New Roman"/>
          <w:sz w:val="24"/>
        </w:rPr>
      </w:pPr>
      <w:r>
        <w:rPr>
          <w:rFonts w:ascii="Times New Roman" w:hAnsi="Times New Roman" w:eastAsia="宋体" w:cs="Times New Roman"/>
          <w:color w:val="1F1F1F"/>
          <w:sz w:val="24"/>
          <w:rtl w:val="0"/>
        </w:rPr>
        <w:t>利用多模态分析技术，检测视频中的血流变化（rPPG）、眨眼频率异常、视听不一致等生理特征，开发高精度的鉴伪系统。</w:t>
      </w:r>
    </w:p>
    <w:p w14:paraId="0000003F">
      <w:pPr>
        <w:pStyle w:val="4"/>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120" w:after="120" w:line="360" w:lineRule="auto"/>
        <w:textAlignment w:val="auto"/>
        <w:rPr>
          <w:rFonts w:ascii="Times New Roman" w:hAnsi="Times New Roman" w:eastAsia="宋体" w:cs="Times New Roman"/>
          <w:color w:val="1F1F1F"/>
          <w:sz w:val="24"/>
        </w:rPr>
      </w:pPr>
      <w:bookmarkStart w:id="15" w:name="_Toc24913"/>
      <w:r>
        <w:rPr>
          <w:rFonts w:ascii="Times New Roman" w:hAnsi="Times New Roman" w:eastAsia="宋体" w:cs="Times New Roman"/>
          <w:color w:val="1F1F1F"/>
          <w:sz w:val="24"/>
          <w:rtl w:val="0"/>
        </w:rPr>
        <w:t>5.3 提升计算机从业人员的道德素养</w:t>
      </w:r>
      <w:bookmarkEnd w:id="15"/>
    </w:p>
    <w:p w14:paraId="00000040">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技术治理的终点是人。正如教材所言，最重要的还是在于所有计算机用户的自律。</w:t>
      </w:r>
    </w:p>
    <w:p w14:paraId="00000041">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高校和企业应加强职业道德教育，使从业人员内化“负责任的创新”理念。在产品设计之初（Privacy by Design），就应考虑其潜在的社会影响，确保人工智能始终向善发展。</w:t>
      </w:r>
    </w:p>
    <w:p w14:paraId="00000042">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after="120" w:line="360" w:lineRule="auto"/>
        <w:textAlignment w:val="auto"/>
        <w:rPr>
          <w:rFonts w:ascii="Times New Roman" w:hAnsi="Times New Roman" w:eastAsia="宋体" w:cs="Times New Roman"/>
          <w:color w:val="1F1F1F"/>
          <w:sz w:val="24"/>
        </w:rPr>
      </w:pPr>
      <w:bookmarkStart w:id="16" w:name="_Toc27088"/>
      <w:r>
        <w:rPr>
          <w:rFonts w:ascii="Times New Roman" w:hAnsi="Times New Roman" w:eastAsia="宋体" w:cs="Times New Roman"/>
          <w:color w:val="1F1F1F"/>
          <w:sz w:val="24"/>
          <w:rtl w:val="0"/>
        </w:rPr>
        <w:t>6. 总结与展望</w:t>
      </w:r>
      <w:bookmarkEnd w:id="16"/>
    </w:p>
    <w:p w14:paraId="0000004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AIGC与深度伪造技术的出现，是计算机科学发展史上的重要里程碑。它们展示了算法惊人的创造力，也暴露了数字社会脆弱的信任基石。</w:t>
      </w:r>
    </w:p>
    <w:p w14:paraId="0000004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本文通过分析发现，AIGC的版权困境源于传统法律对“创作主体”定义的局限，而Deepfake的危害则源于技术被剥离了道德约束后的野蛮生长。解决这些问题，不能因噎废食地阻碍技术进步，而应构建一个多方参与的治理框架：法律划定红线，技术筑起防线，伦理守住底线。</w:t>
      </w:r>
    </w:p>
    <w:p w14:paraId="00000045">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240" w:line="360" w:lineRule="auto"/>
        <w:ind w:firstLine="480" w:firstLineChars="200"/>
        <w:textAlignment w:val="auto"/>
        <w:rPr>
          <w:rFonts w:ascii="Times New Roman" w:hAnsi="Times New Roman" w:eastAsia="宋体" w:cs="Times New Roman"/>
          <w:color w:val="1F1F1F"/>
          <w:sz w:val="24"/>
          <w:rtl w:val="0"/>
        </w:rPr>
      </w:pPr>
      <w:r>
        <w:rPr>
          <w:rFonts w:ascii="Times New Roman" w:hAnsi="Times New Roman" w:eastAsia="宋体" w:cs="Times New Roman"/>
          <w:color w:val="1F1F1F"/>
          <w:sz w:val="24"/>
          <w:rtl w:val="0"/>
        </w:rPr>
        <w:t>对于计算机科学与技术专业的学生而言，我们不仅是未来的代码编写者，更是数字世界的架构师。我们有责任在追求算法优化的同时，时刻审视代码背后的伦理权重，确保人工智能真正服务于人类社会的福祉。</w:t>
      </w:r>
    </w:p>
    <w:p w14:paraId="00000046">
      <w:pPr>
        <w:pStyle w:val="3"/>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before="0" w:after="120" w:line="360" w:lineRule="auto"/>
        <w:jc w:val="center"/>
        <w:textAlignment w:val="auto"/>
        <w:rPr>
          <w:rFonts w:ascii="Times New Roman" w:hAnsi="Times New Roman" w:eastAsia="宋体" w:cs="Times New Roman"/>
          <w:color w:val="1F1F1F"/>
          <w:sz w:val="24"/>
        </w:rPr>
      </w:pPr>
      <w:bookmarkStart w:id="17" w:name="_Toc17040"/>
      <w:r>
        <w:rPr>
          <w:rFonts w:ascii="Times New Roman" w:hAnsi="Times New Roman" w:eastAsia="宋体" w:cs="Times New Roman"/>
          <w:color w:val="1F1F1F"/>
          <w:sz w:val="24"/>
          <w:rtl w:val="0"/>
        </w:rPr>
        <w:t>参考文献</w:t>
      </w:r>
      <w:bookmarkEnd w:id="17"/>
    </w:p>
    <w:p w14:paraId="00000047">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rPr>
      </w:pPr>
      <w:r>
        <w:rPr>
          <w:rFonts w:ascii="Times New Roman" w:hAnsi="Times New Roman" w:eastAsia="宋体" w:cs="Times New Roman"/>
          <w:sz w:val="24"/>
          <w:rtl w:val="0"/>
        </w:rPr>
        <w:t xml:space="preserve">[1] </w:t>
      </w:r>
      <w:r>
        <w:rPr>
          <w:rFonts w:hint="eastAsia" w:ascii="Times New Roman" w:hAnsi="Times New Roman" w:cs="Times New Roman"/>
          <w:sz w:val="24"/>
          <w:rtl w:val="0"/>
          <w:lang w:val="en-US" w:eastAsia="zh-CN"/>
        </w:rPr>
        <w:t xml:space="preserve">瞿中，刘玲，林丽丹，熊安萍 </w:t>
      </w:r>
      <w:r>
        <w:rPr>
          <w:rFonts w:ascii="Times New Roman" w:hAnsi="Times New Roman" w:eastAsia="宋体" w:cs="Times New Roman"/>
          <w:sz w:val="24"/>
          <w:rtl w:val="0"/>
        </w:rPr>
        <w:t>等. 计算机科学导论（第</w:t>
      </w:r>
      <w:r>
        <w:rPr>
          <w:rFonts w:hint="eastAsia" w:ascii="Times New Roman" w:hAnsi="Times New Roman" w:cs="Times New Roman"/>
          <w:sz w:val="24"/>
          <w:rtl w:val="0"/>
          <w:lang w:val="en-US" w:eastAsia="zh-CN"/>
        </w:rPr>
        <w:t>6</w:t>
      </w:r>
      <w:r>
        <w:rPr>
          <w:rFonts w:ascii="Times New Roman" w:hAnsi="Times New Roman" w:eastAsia="宋体" w:cs="Times New Roman"/>
          <w:sz w:val="24"/>
          <w:rtl w:val="0"/>
        </w:rPr>
        <w:t xml:space="preserve">版）[M]. 北京: </w:t>
      </w:r>
      <w:r>
        <w:rPr>
          <w:rFonts w:hint="eastAsia" w:ascii="Times New Roman" w:hAnsi="Times New Roman" w:cs="Times New Roman"/>
          <w:sz w:val="24"/>
          <w:rtl w:val="0"/>
          <w:lang w:val="en-US" w:eastAsia="zh-CN"/>
        </w:rPr>
        <w:t>清华大学出版社</w:t>
      </w:r>
      <w:r>
        <w:rPr>
          <w:rFonts w:ascii="Times New Roman" w:hAnsi="Times New Roman" w:eastAsia="宋体" w:cs="Times New Roman"/>
          <w:sz w:val="24"/>
          <w:rtl w:val="0"/>
        </w:rPr>
        <w:t>, 202</w:t>
      </w:r>
      <w:r>
        <w:rPr>
          <w:rFonts w:hint="eastAsia" w:ascii="Times New Roman" w:hAnsi="Times New Roman" w:cs="Times New Roman"/>
          <w:sz w:val="24"/>
          <w:rtl w:val="0"/>
          <w:lang w:val="en-US" w:eastAsia="zh-CN"/>
        </w:rPr>
        <w:t>1</w:t>
      </w:r>
      <w:r>
        <w:rPr>
          <w:rFonts w:ascii="Times New Roman" w:hAnsi="Times New Roman" w:eastAsia="宋体" w:cs="Times New Roman"/>
          <w:sz w:val="24"/>
          <w:rtl w:val="0"/>
        </w:rPr>
        <w:t>: 33</w:t>
      </w:r>
      <w:r>
        <w:rPr>
          <w:rFonts w:hint="eastAsia" w:ascii="Times New Roman" w:hAnsi="Times New Roman" w:cs="Times New Roman"/>
          <w:sz w:val="24"/>
          <w:rtl w:val="0"/>
          <w:lang w:val="en-US" w:eastAsia="zh-CN"/>
        </w:rPr>
        <w:t>0</w:t>
      </w:r>
      <w:r>
        <w:rPr>
          <w:rFonts w:ascii="Times New Roman" w:hAnsi="Times New Roman" w:eastAsia="宋体" w:cs="Times New Roman"/>
          <w:sz w:val="24"/>
          <w:rtl w:val="0"/>
        </w:rPr>
        <w:t xml:space="preserve">-342. </w:t>
      </w:r>
    </w:p>
    <w:p w14:paraId="0000004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rPr>
      </w:pPr>
      <w:r>
        <w:rPr>
          <w:rFonts w:ascii="Times New Roman" w:hAnsi="Times New Roman" w:eastAsia="宋体" w:cs="Times New Roman"/>
          <w:sz w:val="24"/>
          <w:rtl w:val="0"/>
        </w:rPr>
        <w:t>[2] 中国信息通信研究院. 人工智能知识产权法律问题研究报告[R]. 2023.</w:t>
      </w:r>
    </w:p>
    <w:p w14:paraId="0000004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rPr>
      </w:pPr>
      <w:r>
        <w:rPr>
          <w:rFonts w:ascii="Times New Roman" w:hAnsi="Times New Roman" w:eastAsia="宋体" w:cs="Times New Roman"/>
          <w:sz w:val="24"/>
          <w:rtl w:val="0"/>
        </w:rPr>
        <w:t>[3] 黄静, 韩松言, 田宇航. 生成式人工智能深度伪造风险的样态特征、生成逻辑与监管策略[J]. 电子政务, 2025(05).</w:t>
      </w:r>
    </w:p>
    <w:p w14:paraId="0000004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rPr>
      </w:pPr>
      <w:r>
        <w:rPr>
          <w:rFonts w:ascii="Times New Roman" w:hAnsi="Times New Roman" w:eastAsia="宋体" w:cs="Times New Roman"/>
          <w:sz w:val="24"/>
          <w:rtl w:val="0"/>
        </w:rPr>
        <w:t>[4] 国家互联网信息办公室. 互联网信息服务深度合成管理规定[EB/OL]. (2022-12-11). [2024-05-20].</w:t>
      </w:r>
    </w:p>
    <w:p w14:paraId="0000004B">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rPr>
      </w:pPr>
      <w:r>
        <w:rPr>
          <w:rFonts w:ascii="Times New Roman" w:hAnsi="Times New Roman" w:eastAsia="宋体" w:cs="Times New Roman"/>
          <w:sz w:val="24"/>
          <w:rtl w:val="0"/>
        </w:rPr>
        <w:t>[5] 北京互联网法院. (2023)京0491民初11279号民事判决书[Z]. 2023.</w:t>
      </w:r>
    </w:p>
    <w:p w14:paraId="0000004C">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rPr>
      </w:pPr>
      <w:r>
        <w:rPr>
          <w:rFonts w:ascii="Times New Roman" w:hAnsi="Times New Roman" w:eastAsia="宋体" w:cs="Times New Roman"/>
          <w:sz w:val="24"/>
          <w:rtl w:val="0"/>
        </w:rPr>
        <w:t>[6] 腾讯研究院. AIGC发展趋势报告2023: 迎接人工智能的下一个时代[R]. 2023.</w:t>
      </w:r>
    </w:p>
    <w:p w14:paraId="427F1EAD">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rPr>
      </w:pPr>
    </w:p>
    <w:sectPr>
      <w:pgSz w:w="11906" w:h="16838"/>
      <w:pgMar w:top="1440" w:right="1800" w:bottom="1440" w:left="1800" w:header="964" w:footer="1077"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思源黑体 CN Heavy">
    <w:panose1 w:val="020B0A00000000000000"/>
    <w:charset w:val="86"/>
    <w:family w:val="auto"/>
    <w:pitch w:val="default"/>
    <w:sig w:usb0="20000003" w:usb1="2ADF3C10" w:usb2="00000016" w:usb3="00000000" w:csb0="60060107" w:csb1="00000000"/>
  </w:font>
  <w:font w:name="华文琥珀">
    <w:panose1 w:val="02010800040101010101"/>
    <w:charset w:val="86"/>
    <w:family w:val="auto"/>
    <w:pitch w:val="default"/>
    <w:sig w:usb0="00000001" w:usb1="080F0000" w:usb2="00000000" w:usb3="00000000" w:csb0="00040000" w:csb1="00000000"/>
  </w:font>
  <w:font w:name="Google Sans Tex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7B9D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E16F1C">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EE16F1C">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9EB70">
    <w:pPr>
      <w:pStyle w:val="8"/>
      <w:pBdr>
        <w:bottom w:val="none" w:color="auto" w:sz="0" w:space="0"/>
      </w:pBdr>
      <w:jc w:val="right"/>
      <w:rPr>
        <w:rFonts w:hint="eastAsia" w:ascii="黑体" w:hAnsi="黑体" w:eastAsia="黑体" w:cs="黑体"/>
        <w:lang w:val="en-US" w:eastAsia="zh-CN"/>
      </w:rPr>
    </w:pPr>
    <w:r>
      <w:rPr>
        <w:rFonts w:hint="eastAsia" w:ascii="黑体" w:hAnsi="黑体" w:eastAsia="黑体" w:cs="黑体"/>
        <w:lang w:val="en-US" w:eastAsia="zh-CN"/>
      </w:rPr>
      <w:t>浩宇软件工作室学术报告 2025-12 第01期</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B612EF"/>
    <w:multiLevelType w:val="singleLevel"/>
    <w:tmpl w:val="87B612EF"/>
    <w:lvl w:ilvl="0" w:tentative="0">
      <w:start w:val="1"/>
      <w:numFmt w:val="bullet"/>
      <w:lvlText w:val=""/>
      <w:lvlJc w:val="left"/>
      <w:pPr>
        <w:ind w:left="420" w:hanging="420"/>
      </w:pPr>
      <w:rPr>
        <w:rFonts w:hint="default" w:ascii="Wingdings" w:hAnsi="Wingdings"/>
      </w:rPr>
    </w:lvl>
  </w:abstractNum>
  <w:abstractNum w:abstractNumId="1">
    <w:nsid w:val="BF205925"/>
    <w:multiLevelType w:val="multilevel"/>
    <w:tmpl w:val="BF205925"/>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
    <w:nsid w:val="CF092B84"/>
    <w:multiLevelType w:val="multilevel"/>
    <w:tmpl w:val="CF092B84"/>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3">
    <w:nsid w:val="E3DA9F4B"/>
    <w:multiLevelType w:val="singleLevel"/>
    <w:tmpl w:val="E3DA9F4B"/>
    <w:lvl w:ilvl="0" w:tentative="0">
      <w:start w:val="1"/>
      <w:numFmt w:val="bullet"/>
      <w:lvlText w:val=""/>
      <w:lvlJc w:val="left"/>
      <w:pPr>
        <w:ind w:left="420" w:hanging="420"/>
      </w:pPr>
      <w:rPr>
        <w:rFonts w:hint="default" w:ascii="Wingdings" w:hAnsi="Wingdings"/>
      </w:rPr>
    </w:lvl>
  </w:abstractNum>
  <w:abstractNum w:abstractNumId="4">
    <w:nsid w:val="F01ACF21"/>
    <w:multiLevelType w:val="singleLevel"/>
    <w:tmpl w:val="F01ACF21"/>
    <w:lvl w:ilvl="0" w:tentative="0">
      <w:start w:val="1"/>
      <w:numFmt w:val="bullet"/>
      <w:lvlText w:val=""/>
      <w:lvlJc w:val="left"/>
      <w:pPr>
        <w:ind w:left="420" w:hanging="420"/>
      </w:pPr>
      <w:rPr>
        <w:rFonts w:hint="default" w:ascii="Wingdings" w:hAnsi="Wingdings"/>
      </w:rPr>
    </w:lvl>
  </w:abstractNum>
  <w:abstractNum w:abstractNumId="5">
    <w:nsid w:val="03D62ECE"/>
    <w:multiLevelType w:val="multilevel"/>
    <w:tmpl w:val="03D62ECE"/>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6">
    <w:nsid w:val="25B654F3"/>
    <w:multiLevelType w:val="multilevel"/>
    <w:tmpl w:val="25B654F3"/>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85"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7">
    <w:nsid w:val="33705F63"/>
    <w:multiLevelType w:val="singleLevel"/>
    <w:tmpl w:val="33705F63"/>
    <w:lvl w:ilvl="0" w:tentative="0">
      <w:start w:val="1"/>
      <w:numFmt w:val="decimal"/>
      <w:lvlText w:val="%1."/>
      <w:lvlJc w:val="left"/>
      <w:pPr>
        <w:ind w:left="425" w:hanging="425"/>
      </w:pPr>
      <w:rPr>
        <w:rFonts w:hint="default"/>
      </w:rPr>
    </w:lvl>
  </w:abstractNum>
  <w:abstractNum w:abstractNumId="8">
    <w:nsid w:val="59ADCABA"/>
    <w:multiLevelType w:val="multilevel"/>
    <w:tmpl w:val="59ADCABA"/>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num w:numId="1">
    <w:abstractNumId w:val="7"/>
  </w:num>
  <w:num w:numId="2">
    <w:abstractNumId w:val="2"/>
  </w:num>
  <w:num w:numId="3">
    <w:abstractNumId w:val="8"/>
  </w:num>
  <w:num w:numId="4">
    <w:abstractNumId w:val="1"/>
  </w:num>
  <w:num w:numId="5">
    <w:abstractNumId w:val="0"/>
  </w:num>
  <w:num w:numId="6">
    <w:abstractNumId w:val="5"/>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D2202"/>
    <w:rsid w:val="05121832"/>
    <w:rsid w:val="088A5B1F"/>
    <w:rsid w:val="0AFE624F"/>
    <w:rsid w:val="0C0E416A"/>
    <w:rsid w:val="13952721"/>
    <w:rsid w:val="15683C86"/>
    <w:rsid w:val="1F2D0E8D"/>
    <w:rsid w:val="22E53CE5"/>
    <w:rsid w:val="266863F9"/>
    <w:rsid w:val="3BF70E6F"/>
    <w:rsid w:val="3C52256A"/>
    <w:rsid w:val="3CB0626B"/>
    <w:rsid w:val="42033039"/>
    <w:rsid w:val="433F4264"/>
    <w:rsid w:val="48EC290E"/>
    <w:rsid w:val="4A94108A"/>
    <w:rsid w:val="4BB52A42"/>
    <w:rsid w:val="50625205"/>
    <w:rsid w:val="52F92CDD"/>
    <w:rsid w:val="566A38A0"/>
    <w:rsid w:val="570F6AE4"/>
    <w:rsid w:val="57275149"/>
    <w:rsid w:val="580E470E"/>
    <w:rsid w:val="62743F92"/>
    <w:rsid w:val="67B27B55"/>
    <w:rsid w:val="68375F13"/>
    <w:rsid w:val="683D7D10"/>
    <w:rsid w:val="6DB01BDF"/>
    <w:rsid w:val="6DE72678"/>
    <w:rsid w:val="72304805"/>
    <w:rsid w:val="726A16B0"/>
    <w:rsid w:val="77CB6FE4"/>
    <w:rsid w:val="7DE31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7"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rPr>
      <w:rFonts w:ascii="Times New Roman" w:hAnsi="Times New Roman"/>
    </w:r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3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Emphasis"/>
    <w:basedOn w:val="14"/>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4354</Words>
  <Characters>5700</Characters>
  <Lines>0</Lines>
  <Paragraphs>0</Paragraphs>
  <TotalTime>2</TotalTime>
  <ScaleCrop>false</ScaleCrop>
  <LinksUpToDate>false</LinksUpToDate>
  <CharactersWithSpaces>5974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2025-11-22T06:29:00Z</dcterms:created>
  <dc:creator>尤浩宇</dc:creator>
  <cp:lastModifiedBy>星光闪耀</cp:lastModifiedBy>
  <dcterms:modified xsi:type="dcterms:W3CDTF">2025-12-08T07:06:45Z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eyJoZGlkIjoiZDdkYzgxOGU1NjMwMjg3YmZjYTA3NGUyMjMyMGJiMTYiLCJ1c2VySWQiOiIzMzEyMDU0MTgifQ==</vt:lpwstr>
  </property>
  <property fmtid="{D5CDD505-2E9C-101B-9397-08002B2CF9AE}" pid="4" name="ICV">
    <vt:lpwstr>5FB4B2FD3B654A7DB824B61C6B5D010C_12</vt:lpwstr>
  </property>
</Properties>
</file>